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92" w:type="dxa"/>
        <w:tblLayout w:type="fixed"/>
        <w:tblLook w:val="0000" w:firstRow="0" w:lastRow="0" w:firstColumn="0" w:lastColumn="0" w:noHBand="0" w:noVBand="0"/>
      </w:tblPr>
      <w:tblGrid>
        <w:gridCol w:w="3471"/>
        <w:gridCol w:w="6310"/>
      </w:tblGrid>
      <w:tr w:rsidR="00A840D6">
        <w:tc>
          <w:tcPr>
            <w:tcW w:w="3471" w:type="dxa"/>
          </w:tcPr>
          <w:p w:rsidR="00A840D6" w:rsidRDefault="00A840D6">
            <w:pPr>
              <w:ind w:left="284" w:hanging="284"/>
              <w:rPr>
                <w:b/>
                <w:lang w:val="en-US"/>
              </w:rPr>
            </w:pPr>
            <w:bookmarkStart w:id="0" w:name="_GoBack"/>
            <w:bookmarkEnd w:id="0"/>
          </w:p>
        </w:tc>
        <w:tc>
          <w:tcPr>
            <w:tcW w:w="6310" w:type="dxa"/>
          </w:tcPr>
          <w:p w:rsidR="00A840D6" w:rsidRDefault="00A840D6" w:rsidP="007D0F6B">
            <w:pPr>
              <w:jc w:val="center"/>
              <w:rPr>
                <w:sz w:val="28"/>
                <w:szCs w:val="28"/>
              </w:rPr>
            </w:pPr>
          </w:p>
        </w:tc>
      </w:tr>
      <w:tr w:rsidR="00A840D6">
        <w:tc>
          <w:tcPr>
            <w:tcW w:w="3471" w:type="dxa"/>
          </w:tcPr>
          <w:p w:rsidR="00A840D6" w:rsidRDefault="00A840D6">
            <w:pPr>
              <w:ind w:left="284" w:hanging="284"/>
              <w:rPr>
                <w:b/>
              </w:rPr>
            </w:pPr>
          </w:p>
        </w:tc>
        <w:tc>
          <w:tcPr>
            <w:tcW w:w="6310" w:type="dxa"/>
          </w:tcPr>
          <w:p w:rsidR="00A840D6" w:rsidRDefault="00276F6D">
            <w:pPr>
              <w:jc w:val="center"/>
              <w:rPr>
                <w:sz w:val="28"/>
                <w:szCs w:val="28"/>
              </w:rPr>
            </w:pPr>
            <w:r>
              <w:rPr>
                <w:sz w:val="28"/>
                <w:szCs w:val="28"/>
              </w:rPr>
              <w:t>УТВЕРЖДЕН</w:t>
            </w:r>
            <w:r w:rsidR="007D0F6B">
              <w:rPr>
                <w:sz w:val="28"/>
                <w:szCs w:val="28"/>
              </w:rPr>
              <w:t>О</w:t>
            </w:r>
          </w:p>
          <w:p w:rsidR="007D0F6B" w:rsidRDefault="007D0F6B">
            <w:pPr>
              <w:jc w:val="center"/>
              <w:rPr>
                <w:sz w:val="28"/>
                <w:szCs w:val="28"/>
              </w:rPr>
            </w:pPr>
            <w:r>
              <w:rPr>
                <w:sz w:val="28"/>
                <w:szCs w:val="28"/>
              </w:rPr>
              <w:t>Решением</w:t>
            </w:r>
            <w:r w:rsidR="00276F6D">
              <w:rPr>
                <w:sz w:val="28"/>
                <w:szCs w:val="28"/>
              </w:rPr>
              <w:t xml:space="preserve"> </w:t>
            </w:r>
            <w:r>
              <w:rPr>
                <w:sz w:val="28"/>
                <w:szCs w:val="28"/>
              </w:rPr>
              <w:t xml:space="preserve">Совета директоров </w:t>
            </w:r>
          </w:p>
          <w:p w:rsidR="00A840D6" w:rsidRDefault="00513012">
            <w:pPr>
              <w:jc w:val="center"/>
              <w:rPr>
                <w:sz w:val="28"/>
                <w:szCs w:val="28"/>
              </w:rPr>
            </w:pPr>
            <w:r>
              <w:rPr>
                <w:sz w:val="28"/>
                <w:szCs w:val="28"/>
              </w:rPr>
              <w:t>ПА</w:t>
            </w:r>
            <w:r w:rsidR="00276F6D">
              <w:rPr>
                <w:sz w:val="28"/>
                <w:szCs w:val="28"/>
              </w:rPr>
              <w:t>О «Газпром газ</w:t>
            </w:r>
            <w:r>
              <w:rPr>
                <w:sz w:val="28"/>
                <w:szCs w:val="28"/>
              </w:rPr>
              <w:t>ораспределение Уфа</w:t>
            </w:r>
            <w:r w:rsidR="00276F6D">
              <w:rPr>
                <w:sz w:val="28"/>
                <w:szCs w:val="28"/>
              </w:rPr>
              <w:t>»</w:t>
            </w:r>
          </w:p>
          <w:p w:rsidR="002A550D" w:rsidRDefault="002A550D">
            <w:pPr>
              <w:jc w:val="center"/>
              <w:rPr>
                <w:sz w:val="28"/>
                <w:szCs w:val="28"/>
              </w:rPr>
            </w:pPr>
            <w:r>
              <w:rPr>
                <w:sz w:val="28"/>
                <w:szCs w:val="28"/>
              </w:rPr>
              <w:t>от «26» июля 2024</w:t>
            </w:r>
            <w:r w:rsidR="00276F6D">
              <w:rPr>
                <w:sz w:val="28"/>
                <w:szCs w:val="28"/>
                <w:lang w:val="en-US"/>
              </w:rPr>
              <w:t xml:space="preserve"> </w:t>
            </w:r>
            <w:r w:rsidR="00276F6D">
              <w:rPr>
                <w:sz w:val="28"/>
                <w:szCs w:val="28"/>
              </w:rPr>
              <w:t xml:space="preserve">г. </w:t>
            </w:r>
          </w:p>
          <w:p w:rsidR="00A840D6" w:rsidRDefault="002A550D">
            <w:pPr>
              <w:jc w:val="center"/>
              <w:rPr>
                <w:sz w:val="28"/>
                <w:szCs w:val="28"/>
              </w:rPr>
            </w:pPr>
            <w:r>
              <w:rPr>
                <w:sz w:val="28"/>
                <w:szCs w:val="28"/>
              </w:rPr>
              <w:t>(Протокол № 2 от 26.07.2024)</w:t>
            </w:r>
          </w:p>
          <w:p w:rsidR="00A840D6" w:rsidRDefault="00A840D6">
            <w:pPr>
              <w:jc w:val="center"/>
              <w:rPr>
                <w:b/>
                <w:lang w:val="en-US"/>
              </w:rPr>
            </w:pPr>
          </w:p>
        </w:tc>
      </w:tr>
    </w:tbl>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jc w:val="center"/>
        <w:rPr>
          <w:b/>
          <w:sz w:val="28"/>
          <w:szCs w:val="28"/>
        </w:rPr>
      </w:pPr>
    </w:p>
    <w:p w:rsidR="00A840D6" w:rsidRDefault="00A840D6">
      <w:pPr>
        <w:ind w:firstLine="709"/>
        <w:jc w:val="both"/>
        <w:rPr>
          <w:b/>
          <w:sz w:val="28"/>
          <w:szCs w:val="28"/>
        </w:rPr>
      </w:pPr>
    </w:p>
    <w:p w:rsidR="00A840D6" w:rsidRDefault="00A840D6">
      <w:pPr>
        <w:ind w:firstLine="709"/>
        <w:jc w:val="both"/>
        <w:rPr>
          <w:b/>
          <w:sz w:val="28"/>
          <w:szCs w:val="28"/>
        </w:rPr>
      </w:pPr>
    </w:p>
    <w:p w:rsidR="00A840D6" w:rsidRDefault="00A840D6">
      <w:pPr>
        <w:ind w:firstLine="709"/>
        <w:jc w:val="both"/>
        <w:rPr>
          <w:b/>
          <w:sz w:val="28"/>
          <w:szCs w:val="28"/>
        </w:rPr>
      </w:pPr>
    </w:p>
    <w:p w:rsidR="00A840D6" w:rsidRDefault="00A840D6">
      <w:pPr>
        <w:ind w:firstLine="709"/>
        <w:jc w:val="both"/>
        <w:rPr>
          <w:b/>
          <w:sz w:val="28"/>
          <w:szCs w:val="28"/>
        </w:rPr>
      </w:pPr>
    </w:p>
    <w:p w:rsidR="00A840D6" w:rsidRDefault="00A840D6">
      <w:pPr>
        <w:ind w:firstLine="709"/>
        <w:jc w:val="both"/>
        <w:rPr>
          <w:b/>
          <w:sz w:val="28"/>
          <w:szCs w:val="28"/>
        </w:rPr>
      </w:pPr>
    </w:p>
    <w:p w:rsidR="00A840D6" w:rsidRDefault="00A840D6">
      <w:pPr>
        <w:ind w:firstLine="709"/>
        <w:jc w:val="both"/>
        <w:rPr>
          <w:b/>
          <w:sz w:val="28"/>
          <w:szCs w:val="28"/>
        </w:rPr>
      </w:pPr>
    </w:p>
    <w:p w:rsidR="00A840D6" w:rsidRDefault="00276F6D">
      <w:pPr>
        <w:jc w:val="center"/>
        <w:rPr>
          <w:b/>
          <w:sz w:val="28"/>
          <w:szCs w:val="28"/>
        </w:rPr>
      </w:pPr>
      <w:r>
        <w:rPr>
          <w:b/>
          <w:sz w:val="28"/>
          <w:szCs w:val="28"/>
        </w:rPr>
        <w:t>ПОЛОЖЕНИ</w:t>
      </w:r>
      <w:r w:rsidR="007D0F6B">
        <w:rPr>
          <w:b/>
          <w:sz w:val="28"/>
          <w:szCs w:val="28"/>
        </w:rPr>
        <w:t>Е</w:t>
      </w:r>
    </w:p>
    <w:p w:rsidR="00A840D6" w:rsidRDefault="00276F6D">
      <w:pPr>
        <w:jc w:val="center"/>
        <w:rPr>
          <w:b/>
          <w:sz w:val="28"/>
          <w:szCs w:val="28"/>
        </w:rPr>
      </w:pPr>
      <w:r>
        <w:rPr>
          <w:b/>
          <w:sz w:val="28"/>
          <w:szCs w:val="28"/>
        </w:rPr>
        <w:t xml:space="preserve">о порядке отчуждения непрофильных активов </w:t>
      </w:r>
      <w:r>
        <w:rPr>
          <w:b/>
          <w:sz w:val="28"/>
          <w:szCs w:val="28"/>
        </w:rPr>
        <w:br/>
      </w:r>
      <w:r w:rsidR="00513012">
        <w:rPr>
          <w:b/>
          <w:sz w:val="28"/>
          <w:szCs w:val="28"/>
        </w:rPr>
        <w:t>ПА</w:t>
      </w:r>
      <w:r w:rsidR="007D0F6B">
        <w:rPr>
          <w:b/>
          <w:sz w:val="28"/>
          <w:szCs w:val="28"/>
        </w:rPr>
        <w:t>О «Газпром газ</w:t>
      </w:r>
      <w:r w:rsidR="00513012">
        <w:rPr>
          <w:b/>
          <w:sz w:val="28"/>
          <w:szCs w:val="28"/>
        </w:rPr>
        <w:t>ораспределение</w:t>
      </w:r>
      <w:r w:rsidR="007D0F6B">
        <w:rPr>
          <w:b/>
          <w:sz w:val="28"/>
          <w:szCs w:val="28"/>
        </w:rPr>
        <w:t xml:space="preserve"> Уфа»</w:t>
      </w:r>
    </w:p>
    <w:p w:rsidR="00A840D6" w:rsidRDefault="00276F6D">
      <w:pPr>
        <w:spacing w:after="120"/>
        <w:jc w:val="center"/>
        <w:rPr>
          <w:b/>
          <w:sz w:val="28"/>
          <w:szCs w:val="28"/>
        </w:rPr>
      </w:pPr>
      <w:r>
        <w:rPr>
          <w:b/>
          <w:sz w:val="28"/>
          <w:szCs w:val="28"/>
        </w:rPr>
        <w:br w:type="page" w:clear="all"/>
      </w:r>
      <w:r>
        <w:rPr>
          <w:b/>
          <w:sz w:val="28"/>
          <w:szCs w:val="28"/>
        </w:rPr>
        <w:lastRenderedPageBreak/>
        <w:t>ОГЛАВЛЕНИЕ</w:t>
      </w:r>
    </w:p>
    <w:p w:rsidR="00A840D6" w:rsidRDefault="00276F6D">
      <w:pPr>
        <w:pStyle w:val="12"/>
        <w:rPr>
          <w:rFonts w:ascii="Calibri" w:hAnsi="Calibri"/>
          <w:sz w:val="22"/>
          <w:szCs w:val="22"/>
        </w:rPr>
      </w:pPr>
      <w:r>
        <w:fldChar w:fldCharType="begin"/>
      </w:r>
      <w:r>
        <w:instrText xml:space="preserve"> TOC \o "1-1" \h \z \u </w:instrText>
      </w:r>
      <w:r>
        <w:fldChar w:fldCharType="separate"/>
      </w:r>
      <w:hyperlink w:anchor="_Toc110254267" w:tooltip="#_Toc110254267" w:history="1">
        <w:r>
          <w:rPr>
            <w:rStyle w:val="aff2"/>
          </w:rPr>
          <w:t>1.   Общие положения</w:t>
        </w:r>
        <w:r>
          <w:tab/>
        </w:r>
        <w:r>
          <w:fldChar w:fldCharType="begin"/>
        </w:r>
        <w:r>
          <w:instrText xml:space="preserve"> PAGEREF _Toc110254267 \h </w:instrText>
        </w:r>
        <w:r>
          <w:fldChar w:fldCharType="separate"/>
        </w:r>
        <w:r>
          <w:t>3</w:t>
        </w:r>
        <w:r>
          <w:fldChar w:fldCharType="end"/>
        </w:r>
      </w:hyperlink>
    </w:p>
    <w:p w:rsidR="00A840D6" w:rsidRDefault="00FD0857">
      <w:pPr>
        <w:pStyle w:val="12"/>
        <w:tabs>
          <w:tab w:val="left" w:pos="440"/>
        </w:tabs>
        <w:rPr>
          <w:rFonts w:ascii="Calibri" w:hAnsi="Calibri"/>
          <w:sz w:val="22"/>
          <w:szCs w:val="22"/>
        </w:rPr>
      </w:pPr>
      <w:hyperlink w:anchor="_Toc110254268" w:tooltip="#_Toc110254268" w:history="1">
        <w:r w:rsidR="00276F6D">
          <w:rPr>
            <w:rStyle w:val="aff2"/>
            <w:lang w:bidi="ru-RU"/>
          </w:rPr>
          <w:t>2.</w:t>
        </w:r>
        <w:r w:rsidR="00276F6D">
          <w:rPr>
            <w:rFonts w:ascii="Calibri" w:hAnsi="Calibri"/>
            <w:sz w:val="22"/>
            <w:szCs w:val="22"/>
          </w:rPr>
          <w:tab/>
        </w:r>
        <w:r w:rsidR="00276F6D">
          <w:rPr>
            <w:rStyle w:val="aff2"/>
          </w:rPr>
          <w:t>Отнесение имущества к категории непрофильных активов</w:t>
        </w:r>
        <w:r w:rsidR="00276F6D">
          <w:tab/>
        </w:r>
        <w:r w:rsidR="00276F6D">
          <w:fldChar w:fldCharType="begin"/>
        </w:r>
        <w:r w:rsidR="00276F6D">
          <w:instrText xml:space="preserve"> PAGEREF _Toc110254268 \h </w:instrText>
        </w:r>
        <w:r w:rsidR="00276F6D">
          <w:fldChar w:fldCharType="separate"/>
        </w:r>
        <w:r w:rsidR="00276F6D">
          <w:t>5</w:t>
        </w:r>
        <w:r w:rsidR="00276F6D">
          <w:fldChar w:fldCharType="end"/>
        </w:r>
      </w:hyperlink>
    </w:p>
    <w:p w:rsidR="00A840D6" w:rsidRDefault="00FD0857">
      <w:pPr>
        <w:pStyle w:val="12"/>
        <w:tabs>
          <w:tab w:val="left" w:pos="440"/>
        </w:tabs>
        <w:rPr>
          <w:rFonts w:ascii="Calibri" w:hAnsi="Calibri"/>
          <w:sz w:val="22"/>
          <w:szCs w:val="22"/>
        </w:rPr>
      </w:pPr>
      <w:hyperlink w:anchor="_Toc110254269" w:tooltip="#_Toc110254269" w:history="1">
        <w:r w:rsidR="00276F6D">
          <w:rPr>
            <w:rStyle w:val="aff2"/>
            <w:lang w:bidi="ru-RU"/>
          </w:rPr>
          <w:t>3.</w:t>
        </w:r>
        <w:r w:rsidR="00276F6D">
          <w:rPr>
            <w:rFonts w:ascii="Calibri" w:hAnsi="Calibri"/>
            <w:sz w:val="22"/>
            <w:szCs w:val="22"/>
          </w:rPr>
          <w:tab/>
        </w:r>
        <w:r w:rsidR="00276F6D">
          <w:rPr>
            <w:rStyle w:val="aff2"/>
          </w:rPr>
          <w:t>Предпродажная подготовка непрофильных активов</w:t>
        </w:r>
        <w:r w:rsidR="00276F6D">
          <w:tab/>
        </w:r>
        <w:r w:rsidR="00276F6D">
          <w:fldChar w:fldCharType="begin"/>
        </w:r>
        <w:r w:rsidR="00276F6D">
          <w:instrText xml:space="preserve"> PAGEREF _Toc110254269 \h </w:instrText>
        </w:r>
        <w:r w:rsidR="00276F6D">
          <w:fldChar w:fldCharType="separate"/>
        </w:r>
        <w:r w:rsidR="00276F6D">
          <w:t>8</w:t>
        </w:r>
        <w:r w:rsidR="00276F6D">
          <w:fldChar w:fldCharType="end"/>
        </w:r>
      </w:hyperlink>
    </w:p>
    <w:p w:rsidR="00A840D6" w:rsidRDefault="00FD0857">
      <w:pPr>
        <w:pStyle w:val="12"/>
        <w:tabs>
          <w:tab w:val="left" w:pos="440"/>
        </w:tabs>
        <w:rPr>
          <w:rFonts w:ascii="Calibri" w:hAnsi="Calibri"/>
          <w:sz w:val="22"/>
          <w:szCs w:val="22"/>
        </w:rPr>
      </w:pPr>
      <w:hyperlink w:anchor="_Toc110254270" w:tooltip="#_Toc110254270" w:history="1">
        <w:r w:rsidR="00276F6D">
          <w:rPr>
            <w:rStyle w:val="aff2"/>
            <w:lang w:bidi="ru-RU"/>
          </w:rPr>
          <w:t>4.</w:t>
        </w:r>
        <w:r w:rsidR="00276F6D">
          <w:rPr>
            <w:rFonts w:ascii="Calibri" w:hAnsi="Calibri"/>
            <w:sz w:val="22"/>
            <w:szCs w:val="22"/>
          </w:rPr>
          <w:tab/>
        </w:r>
        <w:r w:rsidR="00276F6D">
          <w:rPr>
            <w:rStyle w:val="aff2"/>
          </w:rPr>
          <w:t>Порядок отчуждения непрофильных активов</w:t>
        </w:r>
        <w:r w:rsidR="00276F6D">
          <w:tab/>
        </w:r>
        <w:r w:rsidR="00276F6D">
          <w:fldChar w:fldCharType="begin"/>
        </w:r>
        <w:r w:rsidR="00276F6D">
          <w:instrText xml:space="preserve"> PAGEREF _Toc110254270 \h </w:instrText>
        </w:r>
        <w:r w:rsidR="00276F6D">
          <w:fldChar w:fldCharType="separate"/>
        </w:r>
        <w:r w:rsidR="00276F6D">
          <w:t>9</w:t>
        </w:r>
        <w:r w:rsidR="00276F6D">
          <w:fldChar w:fldCharType="end"/>
        </w:r>
      </w:hyperlink>
    </w:p>
    <w:p w:rsidR="00A840D6" w:rsidRDefault="00FD0857">
      <w:pPr>
        <w:pStyle w:val="12"/>
        <w:tabs>
          <w:tab w:val="left" w:pos="440"/>
        </w:tabs>
        <w:rPr>
          <w:rFonts w:ascii="Calibri" w:hAnsi="Calibri"/>
          <w:sz w:val="22"/>
          <w:szCs w:val="22"/>
        </w:rPr>
      </w:pPr>
      <w:hyperlink w:anchor="_Toc110254271" w:tooltip="#_Toc110254271" w:history="1">
        <w:r w:rsidR="00276F6D">
          <w:rPr>
            <w:rStyle w:val="aff2"/>
            <w:lang w:bidi="ru-RU"/>
          </w:rPr>
          <w:t>5.</w:t>
        </w:r>
        <w:r w:rsidR="00276F6D">
          <w:rPr>
            <w:rFonts w:ascii="Calibri" w:hAnsi="Calibri"/>
            <w:sz w:val="22"/>
            <w:szCs w:val="22"/>
          </w:rPr>
          <w:tab/>
        </w:r>
        <w:r w:rsidR="00276F6D">
          <w:rPr>
            <w:rStyle w:val="aff2"/>
          </w:rPr>
          <w:t>Отчет о ходе отчуждения непрофильных активов</w:t>
        </w:r>
        <w:r w:rsidR="00276F6D">
          <w:tab/>
        </w:r>
        <w:r w:rsidR="00276F6D">
          <w:fldChar w:fldCharType="begin"/>
        </w:r>
        <w:r w:rsidR="00276F6D">
          <w:instrText xml:space="preserve"> PAGEREF _Toc110254271 \h </w:instrText>
        </w:r>
        <w:r w:rsidR="00276F6D">
          <w:fldChar w:fldCharType="separate"/>
        </w:r>
        <w:r w:rsidR="00276F6D">
          <w:t>14</w:t>
        </w:r>
        <w:r w:rsidR="00276F6D">
          <w:fldChar w:fldCharType="end"/>
        </w:r>
      </w:hyperlink>
    </w:p>
    <w:p w:rsidR="00A840D6" w:rsidRDefault="00276F6D">
      <w:pPr>
        <w:pStyle w:val="12"/>
      </w:pPr>
      <w:r>
        <w:fldChar w:fldCharType="end"/>
      </w:r>
      <w:r>
        <w:t xml:space="preserve"> </w:t>
      </w:r>
    </w:p>
    <w:p w:rsidR="00A840D6" w:rsidRDefault="00276F6D">
      <w:pPr>
        <w:spacing w:after="120"/>
        <w:ind w:firstLine="709"/>
        <w:jc w:val="both"/>
        <w:outlineLvl w:val="0"/>
        <w:rPr>
          <w:b/>
          <w:sz w:val="28"/>
          <w:szCs w:val="28"/>
        </w:rPr>
      </w:pPr>
      <w:r>
        <w:br w:type="column"/>
      </w:r>
      <w:bookmarkStart w:id="1" w:name="_Toc110254267"/>
      <w:r>
        <w:rPr>
          <w:b/>
          <w:sz w:val="28"/>
          <w:szCs w:val="28"/>
        </w:rPr>
        <w:lastRenderedPageBreak/>
        <w:t>1. Общие положения</w:t>
      </w:r>
      <w:bookmarkEnd w:id="1"/>
      <w:r>
        <w:rPr>
          <w:b/>
          <w:sz w:val="28"/>
          <w:szCs w:val="28"/>
        </w:rPr>
        <w:t xml:space="preserve"> </w:t>
      </w:r>
    </w:p>
    <w:p w:rsidR="00A840D6" w:rsidRDefault="00276F6D">
      <w:pPr>
        <w:pStyle w:val="13"/>
        <w:numPr>
          <w:ilvl w:val="1"/>
          <w:numId w:val="20"/>
        </w:numPr>
        <w:tabs>
          <w:tab w:val="left" w:pos="1234"/>
        </w:tabs>
        <w:spacing w:line="240" w:lineRule="auto"/>
        <w:ind w:firstLine="709"/>
        <w:jc w:val="both"/>
        <w:rPr>
          <w:sz w:val="28"/>
          <w:szCs w:val="28"/>
        </w:rPr>
      </w:pPr>
      <w:r>
        <w:rPr>
          <w:sz w:val="28"/>
          <w:szCs w:val="28"/>
        </w:rPr>
        <w:t xml:space="preserve">Настоящее </w:t>
      </w:r>
      <w:r>
        <w:rPr>
          <w:spacing w:val="-4"/>
          <w:sz w:val="28"/>
          <w:szCs w:val="28"/>
        </w:rPr>
        <w:t xml:space="preserve">Положение </w:t>
      </w:r>
      <w:r>
        <w:rPr>
          <w:bCs/>
          <w:sz w:val="28"/>
          <w:szCs w:val="28"/>
        </w:rPr>
        <w:t xml:space="preserve">о порядке отчуждения непрофильных активов </w:t>
      </w:r>
      <w:r w:rsidR="00513012">
        <w:rPr>
          <w:sz w:val="28"/>
          <w:szCs w:val="28"/>
        </w:rPr>
        <w:t>ПА</w:t>
      </w:r>
      <w:r w:rsidR="007D0F6B">
        <w:rPr>
          <w:sz w:val="28"/>
          <w:szCs w:val="28"/>
        </w:rPr>
        <w:t>О «Газпром газ</w:t>
      </w:r>
      <w:r w:rsidR="00513012">
        <w:rPr>
          <w:sz w:val="28"/>
          <w:szCs w:val="28"/>
        </w:rPr>
        <w:t>ораспределение</w:t>
      </w:r>
      <w:r w:rsidR="007D0F6B">
        <w:rPr>
          <w:sz w:val="28"/>
          <w:szCs w:val="28"/>
        </w:rPr>
        <w:t xml:space="preserve"> Уфа»</w:t>
      </w:r>
      <w:r>
        <w:t xml:space="preserve"> </w:t>
      </w:r>
      <w:r>
        <w:rPr>
          <w:bCs/>
          <w:sz w:val="28"/>
          <w:szCs w:val="28"/>
        </w:rPr>
        <w:t>(далее –</w:t>
      </w:r>
      <w:r>
        <w:rPr>
          <w:sz w:val="28"/>
          <w:szCs w:val="28"/>
        </w:rPr>
        <w:t xml:space="preserve"> Положение) устанавливает порядок принятия решений об отнесении активов, принадлежащих </w:t>
      </w:r>
      <w:r w:rsidR="00513012">
        <w:rPr>
          <w:sz w:val="28"/>
          <w:szCs w:val="28"/>
        </w:rPr>
        <w:t>ПА</w:t>
      </w:r>
      <w:r w:rsidR="007D0F6B">
        <w:rPr>
          <w:sz w:val="28"/>
          <w:szCs w:val="28"/>
        </w:rPr>
        <w:t>О «Газпром газ</w:t>
      </w:r>
      <w:r w:rsidR="00513012">
        <w:rPr>
          <w:sz w:val="28"/>
          <w:szCs w:val="28"/>
        </w:rPr>
        <w:t>ораспределение</w:t>
      </w:r>
      <w:r w:rsidR="007D0F6B">
        <w:rPr>
          <w:sz w:val="28"/>
          <w:szCs w:val="28"/>
        </w:rPr>
        <w:t xml:space="preserve"> Уфа»</w:t>
      </w:r>
      <w:r>
        <w:rPr>
          <w:sz w:val="28"/>
          <w:szCs w:val="28"/>
        </w:rPr>
        <w:t xml:space="preserve"> (далее – Общество), а также дочерним обществам и подконтрольным Обществу организациям (здесь и далее по тексту настоящего Положения – в отношении принадлежащих соответствующей организации активов) к категории непрофильных активов, основания для проведения и состав предпродажной подготовки, а также порядок, способы и условия отчуждения непрофильных активов.</w:t>
      </w:r>
    </w:p>
    <w:p w:rsidR="00A840D6" w:rsidRDefault="00276F6D">
      <w:pPr>
        <w:pStyle w:val="13"/>
        <w:numPr>
          <w:ilvl w:val="1"/>
          <w:numId w:val="20"/>
        </w:numPr>
        <w:tabs>
          <w:tab w:val="left" w:pos="1234"/>
        </w:tabs>
        <w:spacing w:line="240" w:lineRule="auto"/>
        <w:ind w:firstLine="709"/>
        <w:jc w:val="both"/>
        <w:rPr>
          <w:sz w:val="28"/>
          <w:szCs w:val="28"/>
        </w:rPr>
      </w:pPr>
      <w:r>
        <w:rPr>
          <w:sz w:val="28"/>
          <w:szCs w:val="28"/>
        </w:rPr>
        <w:t>Требования Положения обязательны для применения Обществом, дочерними обществами и подконтрольными Обществу организациями при отчуждении непрофильных активов.</w:t>
      </w:r>
    </w:p>
    <w:p w:rsidR="00A840D6" w:rsidRDefault="00276F6D">
      <w:pPr>
        <w:pStyle w:val="13"/>
        <w:numPr>
          <w:ilvl w:val="1"/>
          <w:numId w:val="20"/>
        </w:numPr>
        <w:tabs>
          <w:tab w:val="left" w:pos="1234"/>
        </w:tabs>
        <w:ind w:firstLine="709"/>
        <w:jc w:val="both"/>
        <w:rPr>
          <w:sz w:val="28"/>
          <w:szCs w:val="28"/>
        </w:rPr>
      </w:pPr>
      <w:r>
        <w:rPr>
          <w:sz w:val="28"/>
          <w:szCs w:val="28"/>
        </w:rPr>
        <w:t xml:space="preserve">Общество обеспечивает утверждение локальных нормативных актов (положений), регламентирующих в соответствии с настоящим Положением порядок принятия решений об отнесении активов к категории непрофильных активов, основания для проведения и состав предпродажной подготовки, </w:t>
      </w:r>
      <w:r>
        <w:rPr>
          <w:spacing w:val="-6"/>
          <w:sz w:val="28"/>
          <w:szCs w:val="28"/>
        </w:rPr>
        <w:t>порядок, способы и условия отчуждения непрофильных активов в дочерних</w:t>
      </w:r>
      <w:r>
        <w:rPr>
          <w:sz w:val="28"/>
          <w:szCs w:val="28"/>
        </w:rPr>
        <w:t xml:space="preserve"> обществах и подконтрольных Обществу организациях.</w:t>
      </w:r>
    </w:p>
    <w:p w:rsidR="00A840D6" w:rsidRDefault="00276F6D">
      <w:pPr>
        <w:pStyle w:val="13"/>
        <w:tabs>
          <w:tab w:val="left" w:pos="1234"/>
        </w:tabs>
        <w:ind w:firstLine="709"/>
        <w:jc w:val="both"/>
        <w:rPr>
          <w:sz w:val="28"/>
          <w:szCs w:val="28"/>
        </w:rPr>
      </w:pPr>
      <w:r>
        <w:rPr>
          <w:sz w:val="28"/>
          <w:szCs w:val="28"/>
        </w:rPr>
        <w:t xml:space="preserve">Представители интересов Общества, дочерних обществ </w:t>
      </w:r>
      <w:r>
        <w:rPr>
          <w:sz w:val="28"/>
          <w:szCs w:val="28"/>
        </w:rPr>
        <w:br/>
        <w:t xml:space="preserve">и подконтрольных Обществу организаций в органах управления дочерних обществ и подконтрольных Обществу организаций обеспечивают на основе настоящего Положения утверждение локальных нормативных актов (положений), регламентирующих порядок принятия решений об отнесении активов к категории непрофильных активов, основания для проведения </w:t>
      </w:r>
      <w:r>
        <w:rPr>
          <w:sz w:val="28"/>
          <w:szCs w:val="28"/>
        </w:rPr>
        <w:br/>
        <w:t xml:space="preserve">и состав предпродажной подготовки, а также порядок, способы и условия отчуждения непрофильных активов в таких дочерних обществах </w:t>
      </w:r>
      <w:r>
        <w:rPr>
          <w:sz w:val="28"/>
          <w:szCs w:val="28"/>
        </w:rPr>
        <w:br/>
        <w:t>и подконтрольных Обществу организациях.</w:t>
      </w:r>
    </w:p>
    <w:p w:rsidR="00A840D6" w:rsidRDefault="00276F6D">
      <w:pPr>
        <w:pStyle w:val="13"/>
        <w:numPr>
          <w:ilvl w:val="1"/>
          <w:numId w:val="20"/>
        </w:numPr>
        <w:tabs>
          <w:tab w:val="left" w:pos="1239"/>
        </w:tabs>
        <w:spacing w:line="240" w:lineRule="auto"/>
        <w:ind w:firstLine="709"/>
        <w:jc w:val="both"/>
        <w:rPr>
          <w:spacing w:val="-6"/>
          <w:sz w:val="28"/>
          <w:szCs w:val="28"/>
        </w:rPr>
      </w:pPr>
      <w:r>
        <w:rPr>
          <w:spacing w:val="-6"/>
          <w:sz w:val="28"/>
          <w:szCs w:val="28"/>
        </w:rPr>
        <w:t>Настоящее положение не распространяется на отчуждение невостребованных в деятельности Общества, дочерних обществ и подконтрольных Обществу организаций материально-технических ресурсов.</w:t>
      </w:r>
    </w:p>
    <w:p w:rsidR="00A840D6" w:rsidRDefault="00276F6D">
      <w:pPr>
        <w:pStyle w:val="13"/>
        <w:numPr>
          <w:ilvl w:val="1"/>
          <w:numId w:val="20"/>
        </w:numPr>
        <w:tabs>
          <w:tab w:val="left" w:pos="1234"/>
        </w:tabs>
        <w:spacing w:line="240" w:lineRule="auto"/>
        <w:ind w:firstLine="709"/>
        <w:jc w:val="both"/>
        <w:rPr>
          <w:sz w:val="28"/>
          <w:szCs w:val="28"/>
        </w:rPr>
      </w:pPr>
      <w:r>
        <w:rPr>
          <w:sz w:val="28"/>
          <w:szCs w:val="28"/>
        </w:rPr>
        <w:t>Применительно к настоящему Положению используются следующие основные понятия, определения и сокращения:</w:t>
      </w:r>
    </w:p>
    <w:p w:rsidR="00A840D6" w:rsidRDefault="00276F6D">
      <w:pPr>
        <w:pStyle w:val="13"/>
        <w:spacing w:line="240" w:lineRule="auto"/>
        <w:ind w:firstLine="709"/>
        <w:jc w:val="both"/>
        <w:rPr>
          <w:sz w:val="28"/>
          <w:szCs w:val="28"/>
        </w:rPr>
      </w:pPr>
      <w:r>
        <w:rPr>
          <w:b/>
          <w:sz w:val="28"/>
          <w:szCs w:val="28"/>
        </w:rPr>
        <w:t>активы</w:t>
      </w:r>
      <w:r>
        <w:rPr>
          <w:sz w:val="28"/>
          <w:szCs w:val="28"/>
        </w:rPr>
        <w:t xml:space="preserve"> – основные и оборотные средства Общества, дочернего общества или подконтрольной Обществу организации, включая материальные ценности, нематериальные активы и финансовые вложения;</w:t>
      </w:r>
    </w:p>
    <w:p w:rsidR="00A840D6" w:rsidRDefault="00276F6D">
      <w:pPr>
        <w:pStyle w:val="13"/>
        <w:spacing w:line="240" w:lineRule="auto"/>
        <w:ind w:firstLine="709"/>
        <w:jc w:val="both"/>
        <w:rPr>
          <w:sz w:val="28"/>
          <w:szCs w:val="28"/>
        </w:rPr>
      </w:pPr>
      <w:r>
        <w:rPr>
          <w:b/>
          <w:sz w:val="28"/>
          <w:szCs w:val="28"/>
        </w:rPr>
        <w:t>дочернее общество</w:t>
      </w:r>
      <w:r>
        <w:rPr>
          <w:sz w:val="28"/>
          <w:szCs w:val="28"/>
        </w:rPr>
        <w:t xml:space="preserve"> – организация, в которой Общество в силу преобладающего участия в ее уставном капитале либо в соответствии </w:t>
      </w:r>
      <w:r>
        <w:rPr>
          <w:sz w:val="28"/>
          <w:szCs w:val="28"/>
        </w:rPr>
        <w:br/>
        <w:t>с заключенным с ней договором, либо иным образом имеет возможность определять решения, принимаемые такой организацией;</w:t>
      </w:r>
    </w:p>
    <w:p w:rsidR="00A840D6" w:rsidRDefault="00276F6D">
      <w:pPr>
        <w:pStyle w:val="13"/>
        <w:spacing w:line="240" w:lineRule="auto"/>
        <w:ind w:firstLine="709"/>
        <w:jc w:val="both"/>
        <w:rPr>
          <w:sz w:val="28"/>
          <w:szCs w:val="28"/>
        </w:rPr>
      </w:pPr>
      <w:r>
        <w:rPr>
          <w:b/>
          <w:sz w:val="28"/>
          <w:szCs w:val="28"/>
        </w:rPr>
        <w:t>Комиссия Общества</w:t>
      </w:r>
      <w:r w:rsidR="008865FA">
        <w:rPr>
          <w:b/>
          <w:sz w:val="28"/>
          <w:szCs w:val="28"/>
        </w:rPr>
        <w:t>, Комиссия дочернего общества, Комиссия подконтрольной Обществу организации</w:t>
      </w:r>
      <w:r>
        <w:rPr>
          <w:sz w:val="28"/>
          <w:szCs w:val="28"/>
        </w:rPr>
        <w:t xml:space="preserve"> – комиссия по непрофильным активам </w:t>
      </w:r>
      <w:r>
        <w:rPr>
          <w:spacing w:val="-6"/>
          <w:sz w:val="28"/>
          <w:szCs w:val="28"/>
        </w:rPr>
        <w:t>Общества</w:t>
      </w:r>
      <w:r>
        <w:rPr>
          <w:sz w:val="28"/>
          <w:szCs w:val="28"/>
        </w:rPr>
        <w:t xml:space="preserve">, </w:t>
      </w:r>
      <w:r w:rsidR="008865FA">
        <w:rPr>
          <w:sz w:val="28"/>
          <w:szCs w:val="28"/>
        </w:rPr>
        <w:t xml:space="preserve">дочернего общества, подконтрольной Обществу </w:t>
      </w:r>
      <w:r w:rsidR="008865FA">
        <w:rPr>
          <w:sz w:val="28"/>
          <w:szCs w:val="28"/>
        </w:rPr>
        <w:lastRenderedPageBreak/>
        <w:t xml:space="preserve">организации, </w:t>
      </w:r>
      <w:r>
        <w:rPr>
          <w:sz w:val="28"/>
          <w:szCs w:val="28"/>
        </w:rPr>
        <w:t>основной задачей которой является принятие решений об отнесении активов Общества</w:t>
      </w:r>
      <w:r w:rsidR="00412A3E">
        <w:rPr>
          <w:sz w:val="28"/>
          <w:szCs w:val="28"/>
        </w:rPr>
        <w:t>, дочернего общества, подконтрольной Обществу организации</w:t>
      </w:r>
      <w:r>
        <w:rPr>
          <w:sz w:val="28"/>
          <w:szCs w:val="28"/>
        </w:rPr>
        <w:t xml:space="preserve"> к категории непрофильных активов и о</w:t>
      </w:r>
      <w:r w:rsidR="008865FA">
        <w:rPr>
          <w:sz w:val="28"/>
          <w:szCs w:val="28"/>
        </w:rPr>
        <w:t xml:space="preserve">пределение способов </w:t>
      </w:r>
      <w:r>
        <w:rPr>
          <w:sz w:val="28"/>
          <w:szCs w:val="28"/>
        </w:rPr>
        <w:t>их отчуждения;</w:t>
      </w:r>
    </w:p>
    <w:p w:rsidR="009A3133" w:rsidRDefault="009A3133">
      <w:pPr>
        <w:pStyle w:val="13"/>
        <w:spacing w:line="240" w:lineRule="auto"/>
        <w:ind w:firstLine="709"/>
        <w:jc w:val="both"/>
        <w:rPr>
          <w:sz w:val="28"/>
          <w:szCs w:val="28"/>
        </w:rPr>
      </w:pPr>
      <w:r>
        <w:rPr>
          <w:b/>
          <w:sz w:val="28"/>
          <w:szCs w:val="28"/>
        </w:rPr>
        <w:t xml:space="preserve">Комиссия ООО «Газпром межрегионгаз» </w:t>
      </w:r>
      <w:r w:rsidR="00F13751">
        <w:rPr>
          <w:b/>
          <w:sz w:val="28"/>
          <w:szCs w:val="28"/>
        </w:rPr>
        <w:t>–</w:t>
      </w:r>
      <w:r>
        <w:rPr>
          <w:b/>
          <w:sz w:val="28"/>
          <w:szCs w:val="28"/>
        </w:rPr>
        <w:t xml:space="preserve"> </w:t>
      </w:r>
      <w:r w:rsidRPr="00C907E4">
        <w:rPr>
          <w:sz w:val="28"/>
          <w:szCs w:val="28"/>
        </w:rPr>
        <w:t>комиссия ООО «Газпром межрегионгаз» по непрофильным активам, основной задачей которой является принятие р</w:t>
      </w:r>
      <w:r w:rsidR="00F13751">
        <w:rPr>
          <w:sz w:val="28"/>
          <w:szCs w:val="28"/>
        </w:rPr>
        <w:t>ешений об отнесении активов ООО </w:t>
      </w:r>
      <w:r w:rsidRPr="00C907E4">
        <w:rPr>
          <w:sz w:val="28"/>
          <w:szCs w:val="28"/>
        </w:rPr>
        <w:t xml:space="preserve">«Газпром межрегионгаз», </w:t>
      </w:r>
      <w:r w:rsidR="00C907E4">
        <w:rPr>
          <w:sz w:val="28"/>
          <w:szCs w:val="28"/>
        </w:rPr>
        <w:br/>
      </w:r>
      <w:r w:rsidRPr="00C907E4">
        <w:rPr>
          <w:sz w:val="28"/>
          <w:szCs w:val="28"/>
        </w:rPr>
        <w:t>АО «Газпром газораспределение» к категории непрофильных и определение способов их отчуждения</w:t>
      </w:r>
      <w:r w:rsidR="00BB554E" w:rsidRPr="00C907E4">
        <w:rPr>
          <w:sz w:val="28"/>
          <w:szCs w:val="28"/>
        </w:rPr>
        <w:t>.</w:t>
      </w:r>
    </w:p>
    <w:p w:rsidR="00A840D6" w:rsidRDefault="00276F6D">
      <w:pPr>
        <w:pStyle w:val="13"/>
        <w:spacing w:line="240" w:lineRule="auto"/>
        <w:ind w:firstLine="709"/>
        <w:jc w:val="both"/>
        <w:rPr>
          <w:sz w:val="28"/>
          <w:szCs w:val="28"/>
        </w:rPr>
      </w:pPr>
      <w:r>
        <w:rPr>
          <w:b/>
          <w:spacing w:val="-6"/>
          <w:sz w:val="28"/>
          <w:szCs w:val="28"/>
        </w:rPr>
        <w:t>Комиссия ПАО «Газпром»</w:t>
      </w:r>
      <w:r>
        <w:rPr>
          <w:spacing w:val="-6"/>
          <w:sz w:val="28"/>
          <w:szCs w:val="28"/>
        </w:rPr>
        <w:t xml:space="preserve"> – комиссия ПАО «Газпром» по непрофильным</w:t>
      </w:r>
      <w:r>
        <w:rPr>
          <w:sz w:val="28"/>
          <w:szCs w:val="28"/>
        </w:rPr>
        <w:t xml:space="preserve"> активам, основной задачей которой является принятие решений об отнесении активов ПАО «Газпром», организаций Группы Газпром к категории непрофильных и определение способов их отчуждения;</w:t>
      </w:r>
    </w:p>
    <w:p w:rsidR="00A840D6" w:rsidRDefault="00276F6D">
      <w:pPr>
        <w:pStyle w:val="13"/>
        <w:spacing w:line="240" w:lineRule="auto"/>
        <w:ind w:firstLine="709"/>
        <w:jc w:val="both"/>
        <w:rPr>
          <w:sz w:val="28"/>
          <w:szCs w:val="28"/>
        </w:rPr>
      </w:pPr>
      <w:r>
        <w:rPr>
          <w:b/>
          <w:sz w:val="28"/>
          <w:szCs w:val="28"/>
        </w:rPr>
        <w:t>непрофильные активы</w:t>
      </w:r>
      <w:r>
        <w:rPr>
          <w:sz w:val="28"/>
          <w:szCs w:val="28"/>
        </w:rPr>
        <w:t xml:space="preserve"> – активы, принадлежащие Обществу, дочернему обществу или подконтрольной Обществу организации на праве собственности, </w:t>
      </w:r>
      <w:r>
        <w:rPr>
          <w:sz w:val="28"/>
          <w:szCs w:val="28"/>
        </w:rPr>
        <w:br/>
        <w:t xml:space="preserve">не соответствующие понятию «профильные активы», включая принадлежащие </w:t>
      </w:r>
      <w:r w:rsidR="000C34D5">
        <w:rPr>
          <w:sz w:val="28"/>
          <w:szCs w:val="28"/>
        </w:rPr>
        <w:t>каждому из них</w:t>
      </w:r>
      <w:r>
        <w:rPr>
          <w:sz w:val="28"/>
          <w:szCs w:val="28"/>
        </w:rPr>
        <w:t xml:space="preserve"> пакеты акций (долей) в хозяйственном обществе вне зависимости от его основного вида деятельности, составляющие в совокупности с пакетами (долями), находящимися в собственности подконтрольных обществ, менее 50% уставного капитала;</w:t>
      </w:r>
    </w:p>
    <w:p w:rsidR="00A840D6" w:rsidRDefault="00276F6D">
      <w:pPr>
        <w:pStyle w:val="13"/>
        <w:spacing w:line="240" w:lineRule="auto"/>
        <w:ind w:firstLine="709"/>
        <w:jc w:val="both"/>
        <w:rPr>
          <w:sz w:val="28"/>
          <w:szCs w:val="28"/>
        </w:rPr>
      </w:pPr>
      <w:r>
        <w:rPr>
          <w:b/>
          <w:sz w:val="28"/>
          <w:szCs w:val="28"/>
        </w:rPr>
        <w:t>организации Группы Газпром</w:t>
      </w:r>
      <w:r>
        <w:rPr>
          <w:sz w:val="28"/>
          <w:szCs w:val="28"/>
        </w:rPr>
        <w:t xml:space="preserve"> – подконтрольные объекты вложений всех уровней владения, в высшем органе управления которых ПАО «Газпром» и/или его дочерние общества имеют право прямо или косвенно распоряжаться более чем 50 % голосов;</w:t>
      </w:r>
    </w:p>
    <w:p w:rsidR="00A840D6" w:rsidRDefault="00276F6D">
      <w:pPr>
        <w:pStyle w:val="13"/>
        <w:spacing w:line="240" w:lineRule="auto"/>
        <w:ind w:firstLine="709"/>
        <w:jc w:val="both"/>
        <w:rPr>
          <w:sz w:val="28"/>
          <w:szCs w:val="28"/>
        </w:rPr>
      </w:pPr>
      <w:r>
        <w:rPr>
          <w:b/>
          <w:sz w:val="28"/>
          <w:szCs w:val="28"/>
        </w:rPr>
        <w:t>подконтрольная Обществу организация</w:t>
      </w:r>
      <w:r>
        <w:rPr>
          <w:sz w:val="28"/>
          <w:szCs w:val="28"/>
        </w:rPr>
        <w:t xml:space="preserve"> – подконтрольные Обществу объекты вложений всех уровней владения, в высшем органе управления которых Общество и/или его дочерние общества имеют право прямо или косвенно распоряжаться более чем 50 % голосов;</w:t>
      </w:r>
    </w:p>
    <w:p w:rsidR="00A840D6" w:rsidRDefault="00276F6D">
      <w:pPr>
        <w:pStyle w:val="13"/>
        <w:ind w:firstLine="700"/>
        <w:jc w:val="both"/>
        <w:rPr>
          <w:sz w:val="28"/>
          <w:szCs w:val="28"/>
        </w:rPr>
      </w:pPr>
      <w:r>
        <w:rPr>
          <w:b/>
          <w:sz w:val="28"/>
          <w:szCs w:val="28"/>
        </w:rPr>
        <w:t>ответственное подразделение ПАО «Газпром»</w:t>
      </w:r>
      <w:r>
        <w:rPr>
          <w:sz w:val="28"/>
          <w:szCs w:val="28"/>
        </w:rPr>
        <w:t xml:space="preserve"> – структурное подразделение ПАО «Газпром», на которое приказом ПАО «Газпром» возложена ответственность по осуществлению контроля за обеспечением эффективности долгосрочных финансовых вложений ПАО «Газпром»;</w:t>
      </w:r>
    </w:p>
    <w:p w:rsidR="00A840D6" w:rsidRDefault="00276F6D" w:rsidP="001B7616">
      <w:pPr>
        <w:pStyle w:val="13"/>
        <w:spacing w:line="235" w:lineRule="auto"/>
        <w:ind w:firstLine="700"/>
        <w:jc w:val="both"/>
        <w:rPr>
          <w:sz w:val="28"/>
          <w:szCs w:val="28"/>
        </w:rPr>
      </w:pPr>
      <w:r>
        <w:rPr>
          <w:b/>
          <w:sz w:val="28"/>
          <w:szCs w:val="28"/>
        </w:rPr>
        <w:t>ответственное подразделение Общества, дочернего общества, подконтрольной Обществу организации</w:t>
      </w:r>
      <w:r>
        <w:rPr>
          <w:sz w:val="28"/>
          <w:szCs w:val="28"/>
        </w:rPr>
        <w:t xml:space="preserve"> – структурное подразделение Общества, дочернего общества или подконтрольной Обществу организации, </w:t>
      </w:r>
      <w:r>
        <w:rPr>
          <w:sz w:val="28"/>
          <w:szCs w:val="28"/>
        </w:rPr>
        <w:br/>
        <w:t xml:space="preserve">на которое приказом Общества, дочернего общества или подконтрольной Обществу организации возложена ответственность по осуществлению контроля </w:t>
      </w:r>
      <w:r>
        <w:rPr>
          <w:sz w:val="28"/>
          <w:szCs w:val="28"/>
        </w:rPr>
        <w:br/>
        <w:t>за обеспечением эффективности долгосрочных финансовых вложений Общества, дочернего Общества или подконтрольной Обществу организации соответственно;</w:t>
      </w:r>
    </w:p>
    <w:p w:rsidR="00A840D6" w:rsidRDefault="00276F6D" w:rsidP="001B7616">
      <w:pPr>
        <w:spacing w:line="235" w:lineRule="auto"/>
        <w:ind w:firstLine="709"/>
        <w:jc w:val="both"/>
        <w:rPr>
          <w:bCs/>
          <w:sz w:val="28"/>
          <w:szCs w:val="28"/>
        </w:rPr>
      </w:pPr>
      <w:r>
        <w:rPr>
          <w:b/>
          <w:bCs/>
          <w:sz w:val="28"/>
          <w:szCs w:val="28"/>
        </w:rPr>
        <w:t>Департамент</w:t>
      </w:r>
      <w:r>
        <w:rPr>
          <w:bCs/>
          <w:sz w:val="28"/>
          <w:szCs w:val="28"/>
        </w:rPr>
        <w:t xml:space="preserve"> – структурное подразделение ПАО «Газпром», одной </w:t>
      </w:r>
      <w:r>
        <w:rPr>
          <w:bCs/>
          <w:sz w:val="28"/>
          <w:szCs w:val="28"/>
        </w:rPr>
        <w:br/>
        <w:t xml:space="preserve">из основных задач которого является формирование и реализация единой политики по управлению активами ПАО «Газпром», его дочерних обществ </w:t>
      </w:r>
      <w:r>
        <w:rPr>
          <w:bCs/>
          <w:sz w:val="28"/>
          <w:szCs w:val="28"/>
        </w:rPr>
        <w:br/>
        <w:t>и организаций, включая непрофильные активы;</w:t>
      </w:r>
    </w:p>
    <w:p w:rsidR="00A840D6" w:rsidRDefault="00276F6D">
      <w:pPr>
        <w:pStyle w:val="13"/>
        <w:spacing w:line="240" w:lineRule="auto"/>
        <w:ind w:firstLine="709"/>
        <w:jc w:val="both"/>
        <w:rPr>
          <w:sz w:val="28"/>
          <w:szCs w:val="28"/>
        </w:rPr>
      </w:pPr>
      <w:r>
        <w:rPr>
          <w:b/>
          <w:sz w:val="28"/>
          <w:szCs w:val="28"/>
        </w:rPr>
        <w:t>профильные активы</w:t>
      </w:r>
      <w:r>
        <w:rPr>
          <w:sz w:val="28"/>
          <w:szCs w:val="28"/>
        </w:rPr>
        <w:t xml:space="preserve"> – активы, принадлежащие Обществу, дочерним </w:t>
      </w:r>
      <w:r>
        <w:rPr>
          <w:sz w:val="28"/>
          <w:szCs w:val="28"/>
        </w:rPr>
        <w:lastRenderedPageBreak/>
        <w:t>обществам или подконтрольным Обществу организациям на праве собственности и используемые при осуществлении основных видов деятельности, или необходимые для реализации Долгосрочной программы развития ПАО «Газпром», или соответствующие критериям профильности в соответствии с Программой отчуждения непрофильных активов ПАО «Газпром», утверждаемой в установленном ПАО «Газпром» порядке.</w:t>
      </w:r>
    </w:p>
    <w:p w:rsidR="00A840D6" w:rsidRDefault="00276F6D">
      <w:pPr>
        <w:pStyle w:val="13"/>
        <w:spacing w:line="240" w:lineRule="auto"/>
        <w:ind w:firstLine="709"/>
        <w:jc w:val="both"/>
        <w:rPr>
          <w:sz w:val="28"/>
          <w:szCs w:val="28"/>
        </w:rPr>
      </w:pPr>
      <w:r>
        <w:rPr>
          <w:b/>
          <w:sz w:val="28"/>
          <w:szCs w:val="28"/>
        </w:rPr>
        <w:t>СУИМ ПАО «Газпром»</w:t>
      </w:r>
      <w:r>
        <w:rPr>
          <w:sz w:val="28"/>
          <w:szCs w:val="28"/>
        </w:rPr>
        <w:t xml:space="preserve"> – информационно-управляющая система по управлению имуществом и иными активами ПАО «Газпром».</w:t>
      </w:r>
    </w:p>
    <w:p w:rsidR="00A840D6" w:rsidRDefault="00276F6D">
      <w:pPr>
        <w:pStyle w:val="15"/>
        <w:keepNext/>
        <w:keepLines/>
        <w:numPr>
          <w:ilvl w:val="0"/>
          <w:numId w:val="20"/>
        </w:numPr>
        <w:tabs>
          <w:tab w:val="left" w:pos="332"/>
          <w:tab w:val="left" w:pos="1134"/>
        </w:tabs>
        <w:spacing w:before="240" w:line="240" w:lineRule="auto"/>
        <w:ind w:firstLine="709"/>
        <w:jc w:val="both"/>
        <w:rPr>
          <w:sz w:val="28"/>
          <w:szCs w:val="28"/>
        </w:rPr>
      </w:pPr>
      <w:bookmarkStart w:id="2" w:name="_Toc101786659"/>
      <w:bookmarkStart w:id="3" w:name="_Toc101786668"/>
      <w:bookmarkStart w:id="4" w:name="_Toc110254268"/>
      <w:bookmarkEnd w:id="2"/>
      <w:bookmarkEnd w:id="3"/>
      <w:r>
        <w:rPr>
          <w:sz w:val="28"/>
          <w:szCs w:val="28"/>
        </w:rPr>
        <w:t>Отнесение имущества к категории непрофильных активов</w:t>
      </w:r>
      <w:bookmarkEnd w:id="4"/>
    </w:p>
    <w:p w:rsidR="00A840D6" w:rsidRDefault="00276F6D" w:rsidP="00FD3FAC">
      <w:pPr>
        <w:pStyle w:val="13"/>
        <w:widowControl/>
        <w:numPr>
          <w:ilvl w:val="1"/>
          <w:numId w:val="20"/>
        </w:numPr>
        <w:tabs>
          <w:tab w:val="left" w:pos="1239"/>
        </w:tabs>
        <w:spacing w:line="233" w:lineRule="auto"/>
        <w:ind w:firstLine="709"/>
        <w:jc w:val="both"/>
        <w:rPr>
          <w:sz w:val="28"/>
          <w:szCs w:val="28"/>
        </w:rPr>
      </w:pPr>
      <w:r>
        <w:rPr>
          <w:sz w:val="28"/>
          <w:szCs w:val="28"/>
        </w:rPr>
        <w:t>Решения об отнесении активов к категории непрофильных активов, а также о целесообразности применения способов их отчуждения принимаются по предложению ООО «Газпром межрегионгаз» Комиссией ПАО «Газпром» в отношении:</w:t>
      </w:r>
    </w:p>
    <w:p w:rsidR="00A840D6" w:rsidRDefault="00276F6D" w:rsidP="00FD3FAC">
      <w:pPr>
        <w:pStyle w:val="13"/>
        <w:spacing w:line="233" w:lineRule="auto"/>
        <w:ind w:firstLine="709"/>
        <w:jc w:val="both"/>
        <w:rPr>
          <w:sz w:val="28"/>
          <w:szCs w:val="28"/>
        </w:rPr>
      </w:pPr>
      <w:r>
        <w:rPr>
          <w:sz w:val="28"/>
          <w:szCs w:val="28"/>
        </w:rPr>
        <w:t>активов Общества, дочерних обществ и подконтрольных Обществу организаций балансовая (остаточная) стоимость по данным бухгалтерского учета или рыночная стоимость либо кадастровая стоимость (для земельных участков)</w:t>
      </w:r>
      <w:r>
        <w:rPr>
          <w:sz w:val="28"/>
          <w:szCs w:val="28"/>
          <w:vertAlign w:val="superscript"/>
        </w:rPr>
        <w:footnoteReference w:id="2"/>
      </w:r>
      <w:r>
        <w:rPr>
          <w:sz w:val="28"/>
          <w:szCs w:val="28"/>
        </w:rPr>
        <w:t xml:space="preserve"> которых составляет 30 (тридцать) и более миллионов рублей с учетом НДС;</w:t>
      </w:r>
    </w:p>
    <w:p w:rsidR="00A840D6" w:rsidRDefault="00276F6D" w:rsidP="00FD3FAC">
      <w:pPr>
        <w:pStyle w:val="13"/>
        <w:spacing w:line="233" w:lineRule="auto"/>
        <w:ind w:firstLine="709"/>
        <w:jc w:val="both"/>
        <w:rPr>
          <w:sz w:val="28"/>
          <w:szCs w:val="28"/>
        </w:rPr>
      </w:pPr>
      <w:r>
        <w:rPr>
          <w:sz w:val="28"/>
          <w:szCs w:val="28"/>
        </w:rPr>
        <w:t xml:space="preserve">иных активов Общества, дочерних обществ и подконтрольных Обществу организаций по предложению ПАО «Газпром». </w:t>
      </w:r>
    </w:p>
    <w:p w:rsidR="00A840D6" w:rsidRDefault="00276F6D" w:rsidP="00FD3FAC">
      <w:pPr>
        <w:pStyle w:val="13"/>
        <w:spacing w:line="233" w:lineRule="auto"/>
        <w:ind w:firstLine="709"/>
        <w:jc w:val="both"/>
        <w:rPr>
          <w:sz w:val="28"/>
          <w:szCs w:val="28"/>
        </w:rPr>
      </w:pPr>
      <w:r>
        <w:rPr>
          <w:sz w:val="28"/>
          <w:szCs w:val="28"/>
        </w:rPr>
        <w:t>В остальных случаях решения об отнесении активов Общества, дочерних обществ и</w:t>
      </w:r>
      <w:r w:rsidR="00412A3E">
        <w:rPr>
          <w:sz w:val="28"/>
          <w:szCs w:val="28"/>
        </w:rPr>
        <w:t>ли</w:t>
      </w:r>
      <w:r>
        <w:rPr>
          <w:sz w:val="28"/>
          <w:szCs w:val="28"/>
        </w:rPr>
        <w:t xml:space="preserve"> подконтрольных Обществу организаций к категории непрофильных активов, а также о целесообразности пр</w:t>
      </w:r>
      <w:r w:rsidR="00412A3E">
        <w:rPr>
          <w:sz w:val="28"/>
          <w:szCs w:val="28"/>
        </w:rPr>
        <w:t xml:space="preserve">именения тех или иных способов </w:t>
      </w:r>
      <w:r>
        <w:rPr>
          <w:sz w:val="28"/>
          <w:szCs w:val="28"/>
        </w:rPr>
        <w:t>их отчуждения принимаются Комиссией Общества, Комиссией дочернего общества или Комиссией подконтрольной Обществу организации (здесь и далее по тексту настоящего Положения – в отношении принадлежащих соответствующей организации активов), а также Комиссией ООО «Газпром межрегионгаз» с учетом нормативных документов ПАО «Газпром», ООО «Газпром межрегионгаз» и внутренних документов Общества, дочернего общества и</w:t>
      </w:r>
      <w:r w:rsidR="00412A3E">
        <w:rPr>
          <w:sz w:val="28"/>
          <w:szCs w:val="28"/>
        </w:rPr>
        <w:t>ли</w:t>
      </w:r>
      <w:r>
        <w:rPr>
          <w:sz w:val="28"/>
          <w:szCs w:val="28"/>
        </w:rPr>
        <w:t xml:space="preserve"> подконтрольной Обществу организации, регламентирующих вопросы выявления и отчуждения непрофильных активов.</w:t>
      </w:r>
    </w:p>
    <w:p w:rsidR="00A840D6" w:rsidRDefault="00276F6D" w:rsidP="00FD3FAC">
      <w:pPr>
        <w:tabs>
          <w:tab w:val="left" w:pos="709"/>
          <w:tab w:val="left" w:pos="1134"/>
        </w:tabs>
        <w:spacing w:line="233" w:lineRule="auto"/>
        <w:ind w:firstLine="709"/>
        <w:jc w:val="both"/>
        <w:rPr>
          <w:spacing w:val="-4"/>
          <w:sz w:val="28"/>
          <w:szCs w:val="28"/>
        </w:rPr>
      </w:pPr>
      <w:r>
        <w:rPr>
          <w:spacing w:val="-4"/>
          <w:sz w:val="28"/>
          <w:szCs w:val="28"/>
        </w:rPr>
        <w:t xml:space="preserve">На основании утвержденного ПАО «Газпром» Плана отчуждения непрофильных активов организаций Группы Газпром межрегионгаз на соответствующий период уполномоченным органом управления Общества, дочернего общества или подконтрольной Обществу организации утверждается разработанный руководителем Общества, дочернего общества </w:t>
      </w:r>
      <w:r>
        <w:rPr>
          <w:spacing w:val="-4"/>
          <w:sz w:val="28"/>
          <w:szCs w:val="28"/>
        </w:rPr>
        <w:br/>
        <w:t>или подконтрольной Обществу организации План мероприятий Общества, дочернего общества или подконтрольной Обществу организации по отчуждению непрофильных активов на соответствующий период.</w:t>
      </w:r>
    </w:p>
    <w:p w:rsidR="00A840D6" w:rsidRDefault="00276F6D" w:rsidP="00FD3FAC">
      <w:pPr>
        <w:tabs>
          <w:tab w:val="left" w:pos="709"/>
          <w:tab w:val="left" w:pos="1134"/>
        </w:tabs>
        <w:spacing w:line="230" w:lineRule="auto"/>
        <w:ind w:firstLine="709"/>
        <w:jc w:val="both"/>
        <w:rPr>
          <w:spacing w:val="-4"/>
          <w:sz w:val="28"/>
          <w:szCs w:val="28"/>
        </w:rPr>
      </w:pPr>
      <w:r>
        <w:rPr>
          <w:spacing w:val="-4"/>
          <w:sz w:val="28"/>
          <w:szCs w:val="28"/>
        </w:rPr>
        <w:lastRenderedPageBreak/>
        <w:t xml:space="preserve">Руководитель Общества, дочернего общества или подконтрольной Обществу организации обеспечивает исполнение утвержденного Плана мероприятий Общества, дочернего общества или подконтрольной Обществу организации </w:t>
      </w:r>
      <w:r w:rsidR="00FD3FAC">
        <w:rPr>
          <w:spacing w:val="-4"/>
          <w:sz w:val="28"/>
          <w:szCs w:val="28"/>
        </w:rPr>
        <w:br/>
      </w:r>
      <w:r>
        <w:rPr>
          <w:spacing w:val="-4"/>
          <w:sz w:val="28"/>
          <w:szCs w:val="28"/>
        </w:rPr>
        <w:t>по отчуждению непрофильных акт</w:t>
      </w:r>
      <w:r w:rsidR="00FD3FAC">
        <w:rPr>
          <w:spacing w:val="-4"/>
          <w:sz w:val="28"/>
          <w:szCs w:val="28"/>
        </w:rPr>
        <w:t xml:space="preserve">ивов на соответствующий период </w:t>
      </w:r>
      <w:r w:rsidR="00FD3FAC">
        <w:rPr>
          <w:spacing w:val="-4"/>
          <w:sz w:val="28"/>
          <w:szCs w:val="28"/>
        </w:rPr>
        <w:br/>
      </w:r>
      <w:r>
        <w:rPr>
          <w:spacing w:val="-4"/>
          <w:sz w:val="28"/>
          <w:szCs w:val="28"/>
        </w:rPr>
        <w:t xml:space="preserve">и предоставляет уполномоченному органу управления Общества, дочернего общества или подконтрольной Обществу организации отчет о ходе его исполнения не позднее 15 июля и 15 ноября отчетного года, о результатах его исполнения – </w:t>
      </w:r>
      <w:r w:rsidR="00FD3FAC">
        <w:rPr>
          <w:spacing w:val="-4"/>
          <w:sz w:val="28"/>
          <w:szCs w:val="28"/>
        </w:rPr>
        <w:br/>
      </w:r>
      <w:r>
        <w:rPr>
          <w:spacing w:val="-4"/>
          <w:sz w:val="28"/>
          <w:szCs w:val="28"/>
        </w:rPr>
        <w:t>не позднее 10 января года, следующего за отчетным.</w:t>
      </w:r>
    </w:p>
    <w:p w:rsidR="00A840D6" w:rsidRDefault="00276F6D" w:rsidP="00FD3FAC">
      <w:pPr>
        <w:pStyle w:val="13"/>
        <w:numPr>
          <w:ilvl w:val="1"/>
          <w:numId w:val="20"/>
        </w:numPr>
        <w:tabs>
          <w:tab w:val="left" w:pos="1239"/>
        </w:tabs>
        <w:spacing w:line="230" w:lineRule="auto"/>
        <w:ind w:firstLine="709"/>
        <w:jc w:val="both"/>
        <w:rPr>
          <w:sz w:val="28"/>
          <w:szCs w:val="28"/>
        </w:rPr>
      </w:pPr>
      <w:r>
        <w:rPr>
          <w:sz w:val="28"/>
          <w:szCs w:val="28"/>
        </w:rPr>
        <w:t xml:space="preserve">Решения об отнесении активов Общества, дочерних обществ </w:t>
      </w:r>
      <w:r>
        <w:rPr>
          <w:sz w:val="28"/>
          <w:szCs w:val="28"/>
        </w:rPr>
        <w:br/>
        <w:t>и</w:t>
      </w:r>
      <w:r w:rsidR="000A15BB">
        <w:rPr>
          <w:sz w:val="28"/>
          <w:szCs w:val="28"/>
        </w:rPr>
        <w:t>ли</w:t>
      </w:r>
      <w:r>
        <w:rPr>
          <w:sz w:val="28"/>
          <w:szCs w:val="28"/>
        </w:rPr>
        <w:t xml:space="preserve"> подконтрольных Обществу организаций к к</w:t>
      </w:r>
      <w:r w:rsidR="000A15BB">
        <w:rPr>
          <w:sz w:val="28"/>
          <w:szCs w:val="28"/>
        </w:rPr>
        <w:t xml:space="preserve">атегории непрофильных активов, </w:t>
      </w:r>
      <w:r>
        <w:rPr>
          <w:sz w:val="28"/>
          <w:szCs w:val="28"/>
        </w:rPr>
        <w:t xml:space="preserve">а также о целесообразности применения способов их отчуждения, принятые Комиссией Общества, а также Комиссией дочернего общества или Комиссией подконтрольной Обществу организации могут быть отменены председателем Комиссии ПАО «Газпром» (в его отсутствие – заместителем председателя Комиссии ПАО «Газпром»), Председателем Комиссии </w:t>
      </w:r>
      <w:r w:rsidR="00FD3FAC">
        <w:rPr>
          <w:sz w:val="28"/>
          <w:szCs w:val="28"/>
        </w:rPr>
        <w:br/>
      </w:r>
      <w:r w:rsidR="00F13751">
        <w:rPr>
          <w:sz w:val="28"/>
          <w:szCs w:val="28"/>
        </w:rPr>
        <w:t>ООО </w:t>
      </w:r>
      <w:r>
        <w:rPr>
          <w:sz w:val="28"/>
          <w:szCs w:val="28"/>
        </w:rPr>
        <w:t xml:space="preserve">«Газпром межрегионгаз» и Председателем Комиссии Общества </w:t>
      </w:r>
      <w:r w:rsidR="00FD3FAC">
        <w:rPr>
          <w:sz w:val="28"/>
          <w:szCs w:val="28"/>
        </w:rPr>
        <w:br/>
      </w:r>
      <w:r>
        <w:rPr>
          <w:sz w:val="28"/>
          <w:szCs w:val="28"/>
        </w:rPr>
        <w:t>(в отношении решений Комиссий дочерних обществ и Комиссий подконтрольных Обществу организаций) на основании мотивирован</w:t>
      </w:r>
      <w:r w:rsidR="00FD3FAC">
        <w:rPr>
          <w:sz w:val="28"/>
          <w:szCs w:val="28"/>
        </w:rPr>
        <w:t xml:space="preserve">ной позиции, содержащей выводы </w:t>
      </w:r>
      <w:r>
        <w:rPr>
          <w:sz w:val="28"/>
          <w:szCs w:val="28"/>
        </w:rPr>
        <w:t xml:space="preserve">о несоответствии данных решений настоящему Положению, </w:t>
      </w:r>
      <w:r w:rsidR="00FD3FAC">
        <w:rPr>
          <w:sz w:val="28"/>
        </w:rPr>
        <w:t xml:space="preserve">Положению </w:t>
      </w:r>
      <w:r>
        <w:rPr>
          <w:sz w:val="28"/>
        </w:rPr>
        <w:t>о порядке отчуждения непрофильных активов ПАО «Газпром» и организаций Группы Газпром, утвержденному приказом ПАО «Газпром» от 28.02.2022 № 71, и Положению о Комиссии ПАО «Газпром» по непрофильным активам, утвержденному приказом ПАО «Газпром» от 17.02.2016 № 103</w:t>
      </w:r>
      <w:r>
        <w:rPr>
          <w:sz w:val="28"/>
          <w:szCs w:val="28"/>
        </w:rPr>
        <w:t xml:space="preserve">, а также подходам, указанным в Программе отчуждения непрофильных активов ПАО «Газпром», </w:t>
      </w:r>
      <w:r>
        <w:rPr>
          <w:spacing w:val="-6"/>
          <w:sz w:val="28"/>
          <w:szCs w:val="28"/>
        </w:rPr>
        <w:t>утвержденной решением С</w:t>
      </w:r>
      <w:r w:rsidR="00FD3FAC">
        <w:rPr>
          <w:spacing w:val="-6"/>
          <w:sz w:val="28"/>
          <w:szCs w:val="28"/>
        </w:rPr>
        <w:t xml:space="preserve">овета директоров ПАО «Газпром» </w:t>
      </w:r>
      <w:r>
        <w:rPr>
          <w:spacing w:val="-6"/>
          <w:sz w:val="28"/>
          <w:szCs w:val="28"/>
        </w:rPr>
        <w:t>от 16.01.2018</w:t>
      </w:r>
      <w:r>
        <w:rPr>
          <w:sz w:val="28"/>
          <w:szCs w:val="28"/>
        </w:rPr>
        <w:t xml:space="preserve"> № 3066, локальным нормативным актам ООО «Газпром межрегионгаз», </w:t>
      </w:r>
      <w:r w:rsidR="00410936">
        <w:rPr>
          <w:sz w:val="28"/>
          <w:szCs w:val="28"/>
        </w:rPr>
        <w:t xml:space="preserve">применимым к Обществу, дочерним обществам, подконтрольным Обществу организациям, локальным нормативным актам </w:t>
      </w:r>
      <w:r>
        <w:rPr>
          <w:sz w:val="28"/>
          <w:szCs w:val="28"/>
        </w:rPr>
        <w:t>Общества, дочерних обществ и</w:t>
      </w:r>
      <w:r w:rsidR="00410936">
        <w:rPr>
          <w:sz w:val="28"/>
          <w:szCs w:val="28"/>
        </w:rPr>
        <w:t>ли</w:t>
      </w:r>
      <w:r>
        <w:rPr>
          <w:sz w:val="28"/>
          <w:szCs w:val="28"/>
        </w:rPr>
        <w:t xml:space="preserve"> подконтрольных Обществу организаций (в отношении принадлежащих соответствующей организации активов) и/или нецелесообразности реализации активов Общества, дочерних обществ и</w:t>
      </w:r>
      <w:r w:rsidR="00410936">
        <w:rPr>
          <w:sz w:val="28"/>
          <w:szCs w:val="28"/>
        </w:rPr>
        <w:t>ли</w:t>
      </w:r>
      <w:r>
        <w:rPr>
          <w:sz w:val="28"/>
          <w:szCs w:val="28"/>
        </w:rPr>
        <w:t xml:space="preserve"> подконтрольных Обществу организаций на предложенных решениями Комиссии Общества, Комиссии дочернего общества или Комиссии подконтрольной Обществу организации условиях.</w:t>
      </w:r>
    </w:p>
    <w:p w:rsidR="00A840D6" w:rsidRDefault="00276F6D" w:rsidP="00FD3FAC">
      <w:pPr>
        <w:pStyle w:val="13"/>
        <w:keepNext/>
        <w:numPr>
          <w:ilvl w:val="1"/>
          <w:numId w:val="20"/>
        </w:numPr>
        <w:tabs>
          <w:tab w:val="left" w:pos="1239"/>
        </w:tabs>
        <w:spacing w:line="230" w:lineRule="auto"/>
        <w:ind w:firstLine="709"/>
        <w:jc w:val="both"/>
        <w:rPr>
          <w:sz w:val="28"/>
          <w:szCs w:val="28"/>
        </w:rPr>
      </w:pPr>
      <w:r>
        <w:rPr>
          <w:sz w:val="28"/>
          <w:szCs w:val="28"/>
        </w:rPr>
        <w:t xml:space="preserve">Вопрос об отнесении активов Общества, дочерних обществ </w:t>
      </w:r>
      <w:r>
        <w:rPr>
          <w:sz w:val="28"/>
          <w:szCs w:val="28"/>
        </w:rPr>
        <w:br/>
        <w:t>и</w:t>
      </w:r>
      <w:r w:rsidR="002B0AFD">
        <w:rPr>
          <w:sz w:val="28"/>
          <w:szCs w:val="28"/>
        </w:rPr>
        <w:t>ли</w:t>
      </w:r>
      <w:r>
        <w:rPr>
          <w:sz w:val="28"/>
          <w:szCs w:val="28"/>
        </w:rPr>
        <w:t xml:space="preserve"> подконтрольных Обществу организаций к категории непрофильных активов вносится ООО «Газпром межрегионгаз» на рассмотрение Комиссии ПАО «Газпром» по инициативе органов управления ПАО «Газпром», заместителей Председателя Правления ПАО «Газпром», ООО «Газпром межрегионгаз», Общества (в том числе в отношении активов дочерних обществ </w:t>
      </w:r>
      <w:r>
        <w:rPr>
          <w:sz w:val="28"/>
          <w:szCs w:val="28"/>
        </w:rPr>
        <w:br/>
        <w:t>и подконтрольных Обществу организаций).</w:t>
      </w:r>
      <w:r>
        <w:rPr>
          <w:sz w:val="28"/>
          <w:szCs w:val="28"/>
        </w:rPr>
        <w:tab/>
      </w:r>
    </w:p>
    <w:p w:rsidR="00A840D6" w:rsidRDefault="00276F6D" w:rsidP="00FD3FAC">
      <w:pPr>
        <w:pStyle w:val="13"/>
        <w:numPr>
          <w:ilvl w:val="1"/>
          <w:numId w:val="20"/>
        </w:numPr>
        <w:tabs>
          <w:tab w:val="left" w:pos="1239"/>
        </w:tabs>
        <w:spacing w:line="230" w:lineRule="auto"/>
        <w:ind w:firstLine="709"/>
        <w:jc w:val="both"/>
        <w:rPr>
          <w:sz w:val="28"/>
          <w:szCs w:val="28"/>
        </w:rPr>
      </w:pPr>
      <w:r>
        <w:rPr>
          <w:sz w:val="28"/>
          <w:szCs w:val="28"/>
        </w:rPr>
        <w:t>Для внесения ООО «Газпром межрегионгаз» вопроса об отнесении принадлежащих Обществу, дочерним обществам и</w:t>
      </w:r>
      <w:r w:rsidR="002B0AFD">
        <w:rPr>
          <w:sz w:val="28"/>
          <w:szCs w:val="28"/>
        </w:rPr>
        <w:t>ли</w:t>
      </w:r>
      <w:r>
        <w:rPr>
          <w:sz w:val="28"/>
          <w:szCs w:val="28"/>
        </w:rPr>
        <w:t xml:space="preserve"> подконтрольным Обществу организациям активов к категории непрофильных активов на рассмотрение Комиссии ПАО «Газпром» в случаях, предусмотренных пунктом 2.1 Положения, Обществом в ООО «Газпром межрегионгаз» представляются следующие информация и документы:</w:t>
      </w:r>
    </w:p>
    <w:p w:rsidR="00A840D6" w:rsidRDefault="00276F6D">
      <w:pPr>
        <w:pStyle w:val="13"/>
        <w:numPr>
          <w:ilvl w:val="2"/>
          <w:numId w:val="20"/>
        </w:numPr>
        <w:tabs>
          <w:tab w:val="left" w:pos="1476"/>
        </w:tabs>
        <w:spacing w:line="240" w:lineRule="auto"/>
        <w:ind w:firstLine="709"/>
        <w:jc w:val="both"/>
        <w:rPr>
          <w:sz w:val="28"/>
          <w:szCs w:val="28"/>
        </w:rPr>
      </w:pPr>
      <w:r>
        <w:rPr>
          <w:sz w:val="28"/>
          <w:szCs w:val="28"/>
        </w:rPr>
        <w:lastRenderedPageBreak/>
        <w:t>По объектам движимого и/или недвижимого имущества:</w:t>
      </w:r>
    </w:p>
    <w:p w:rsidR="00A840D6" w:rsidRDefault="00276F6D">
      <w:pPr>
        <w:pStyle w:val="13"/>
        <w:spacing w:line="240" w:lineRule="auto"/>
        <w:ind w:firstLine="709"/>
        <w:jc w:val="both"/>
        <w:rPr>
          <w:sz w:val="28"/>
          <w:szCs w:val="28"/>
        </w:rPr>
      </w:pPr>
      <w:r>
        <w:rPr>
          <w:sz w:val="28"/>
          <w:szCs w:val="28"/>
        </w:rPr>
        <w:t>наименование и место нахождения;</w:t>
      </w:r>
    </w:p>
    <w:p w:rsidR="00A840D6" w:rsidRDefault="00276F6D">
      <w:pPr>
        <w:pStyle w:val="13"/>
        <w:spacing w:line="240" w:lineRule="auto"/>
        <w:ind w:firstLine="709"/>
        <w:jc w:val="both"/>
        <w:rPr>
          <w:sz w:val="28"/>
          <w:szCs w:val="28"/>
        </w:rPr>
      </w:pPr>
      <w:r>
        <w:rPr>
          <w:sz w:val="28"/>
          <w:szCs w:val="28"/>
        </w:rPr>
        <w:t xml:space="preserve">сведения о стоимости по данным бухгалтерского учета (по объектам основных средств указываются инвентарный номер, первоначальная (восстановительная) и остаточная стоимости), а также данные о сроках ввода </w:t>
      </w:r>
      <w:r>
        <w:rPr>
          <w:sz w:val="28"/>
          <w:szCs w:val="28"/>
        </w:rPr>
        <w:br/>
        <w:t>в эксплуатацию и нормативных сроках службы имущества;</w:t>
      </w:r>
    </w:p>
    <w:p w:rsidR="00A840D6" w:rsidRDefault="00276F6D">
      <w:pPr>
        <w:pStyle w:val="13"/>
        <w:spacing w:line="240" w:lineRule="auto"/>
        <w:ind w:firstLine="709"/>
        <w:jc w:val="both"/>
        <w:rPr>
          <w:sz w:val="28"/>
          <w:szCs w:val="28"/>
        </w:rPr>
      </w:pPr>
      <w:r>
        <w:rPr>
          <w:sz w:val="28"/>
          <w:szCs w:val="28"/>
        </w:rPr>
        <w:t>технические характеристики и описание текущего состояния;</w:t>
      </w:r>
    </w:p>
    <w:p w:rsidR="00A840D6" w:rsidRDefault="00276F6D">
      <w:pPr>
        <w:pStyle w:val="13"/>
        <w:spacing w:line="240" w:lineRule="auto"/>
        <w:ind w:firstLine="709"/>
        <w:jc w:val="both"/>
        <w:rPr>
          <w:sz w:val="28"/>
          <w:szCs w:val="28"/>
        </w:rPr>
      </w:pPr>
      <w:r>
        <w:rPr>
          <w:sz w:val="28"/>
          <w:szCs w:val="28"/>
        </w:rPr>
        <w:t>сведения о текущем использовании актива и лицах, его использующих;</w:t>
      </w:r>
    </w:p>
    <w:p w:rsidR="00A840D6" w:rsidRDefault="00276F6D">
      <w:pPr>
        <w:pStyle w:val="13"/>
        <w:spacing w:line="240" w:lineRule="auto"/>
        <w:ind w:firstLine="709"/>
        <w:jc w:val="both"/>
        <w:rPr>
          <w:sz w:val="28"/>
          <w:szCs w:val="28"/>
        </w:rPr>
      </w:pPr>
      <w:r>
        <w:rPr>
          <w:sz w:val="28"/>
          <w:szCs w:val="28"/>
        </w:rPr>
        <w:t>сведения о наличии правоустанавливающих и правоподтверждающих документов на объект недвижимости, а также на занимаемый им земельный участок (с приложением копий таких документов);</w:t>
      </w:r>
    </w:p>
    <w:p w:rsidR="00A840D6" w:rsidRDefault="00276F6D">
      <w:pPr>
        <w:pStyle w:val="13"/>
        <w:spacing w:line="240" w:lineRule="auto"/>
        <w:ind w:firstLine="709"/>
        <w:jc w:val="both"/>
        <w:rPr>
          <w:sz w:val="28"/>
          <w:szCs w:val="28"/>
        </w:rPr>
      </w:pPr>
      <w:r>
        <w:rPr>
          <w:sz w:val="28"/>
          <w:szCs w:val="28"/>
        </w:rPr>
        <w:t>сведения об обременении правами третьих лиц, а также о сервитутах, установленных в отношении земельного участка, занимаемого объектом имущества и/или имущественным комплексом, в составе которого он находится;</w:t>
      </w:r>
    </w:p>
    <w:p w:rsidR="00A840D6" w:rsidRDefault="00276F6D">
      <w:pPr>
        <w:pStyle w:val="13"/>
        <w:spacing w:line="240" w:lineRule="auto"/>
        <w:ind w:firstLine="709"/>
        <w:jc w:val="both"/>
        <w:rPr>
          <w:sz w:val="28"/>
          <w:szCs w:val="28"/>
        </w:rPr>
      </w:pPr>
      <w:r>
        <w:rPr>
          <w:sz w:val="28"/>
          <w:szCs w:val="28"/>
        </w:rPr>
        <w:t>сведения о финансовом результате от использования актива за последние три года с расшифровкой расходов, понесенных на его содержание, и доходов от эксплуатации или сдачи в аренду и прогноз на будущий год;</w:t>
      </w:r>
    </w:p>
    <w:p w:rsidR="00A840D6" w:rsidRDefault="00276F6D">
      <w:pPr>
        <w:pStyle w:val="13"/>
        <w:spacing w:line="240" w:lineRule="auto"/>
        <w:ind w:firstLine="709"/>
        <w:jc w:val="both"/>
        <w:rPr>
          <w:sz w:val="28"/>
          <w:szCs w:val="28"/>
        </w:rPr>
      </w:pPr>
      <w:r>
        <w:rPr>
          <w:spacing w:val="-6"/>
          <w:sz w:val="28"/>
          <w:szCs w:val="28"/>
        </w:rPr>
        <w:t>обоснование целесообразности отчуждения актива, а также предполагаемого</w:t>
      </w:r>
      <w:r>
        <w:rPr>
          <w:sz w:val="28"/>
          <w:szCs w:val="28"/>
        </w:rPr>
        <w:t xml:space="preserve"> способа его отчуждения (для их дальнейшего согласования </w:t>
      </w:r>
      <w:r>
        <w:rPr>
          <w:spacing w:val="-4"/>
          <w:sz w:val="28"/>
          <w:szCs w:val="28"/>
        </w:rPr>
        <w:t>ООО «Газпром межрегионгаз» с ответственным подразделением ПАО «Газпром»);</w:t>
      </w:r>
    </w:p>
    <w:p w:rsidR="00A840D6" w:rsidRDefault="00276F6D">
      <w:pPr>
        <w:pStyle w:val="13"/>
        <w:spacing w:line="240" w:lineRule="auto"/>
        <w:ind w:firstLine="709"/>
        <w:jc w:val="both"/>
        <w:rPr>
          <w:sz w:val="28"/>
          <w:szCs w:val="28"/>
        </w:rPr>
      </w:pPr>
      <w:r>
        <w:rPr>
          <w:spacing w:val="-4"/>
          <w:sz w:val="28"/>
          <w:szCs w:val="28"/>
        </w:rPr>
        <w:t>предложения о составе предпродажной подготовки актива и необходимости</w:t>
      </w:r>
      <w:r>
        <w:rPr>
          <w:sz w:val="28"/>
          <w:szCs w:val="28"/>
        </w:rPr>
        <w:t xml:space="preserve"> оценки его рыночной стоимости (для их дальнейшего согласования </w:t>
      </w:r>
      <w:r>
        <w:rPr>
          <w:spacing w:val="-4"/>
          <w:sz w:val="28"/>
          <w:szCs w:val="28"/>
        </w:rPr>
        <w:t xml:space="preserve">ООО «Газпром межрегионгаз» с ответственным подразделением </w:t>
      </w:r>
      <w:r>
        <w:rPr>
          <w:spacing w:val="-4"/>
          <w:sz w:val="28"/>
          <w:szCs w:val="28"/>
        </w:rPr>
        <w:br/>
        <w:t>ПАО «Газпром»);</w:t>
      </w:r>
    </w:p>
    <w:p w:rsidR="00A840D6" w:rsidRDefault="00276F6D">
      <w:pPr>
        <w:pStyle w:val="13"/>
        <w:spacing w:line="240" w:lineRule="auto"/>
        <w:ind w:firstLine="709"/>
        <w:jc w:val="both"/>
        <w:rPr>
          <w:sz w:val="28"/>
          <w:szCs w:val="28"/>
        </w:rPr>
      </w:pPr>
      <w:r>
        <w:rPr>
          <w:spacing w:val="-4"/>
          <w:sz w:val="28"/>
          <w:szCs w:val="28"/>
        </w:rPr>
        <w:t>сведения о рыночной стоимости, независимом оценщике, датах проведения</w:t>
      </w:r>
      <w:r>
        <w:rPr>
          <w:sz w:val="28"/>
          <w:szCs w:val="28"/>
        </w:rPr>
        <w:t xml:space="preserve"> оценки и составления отчета об оценке (если ранее проводилась оценка);</w:t>
      </w:r>
    </w:p>
    <w:p w:rsidR="00A840D6" w:rsidRDefault="00276F6D">
      <w:pPr>
        <w:pStyle w:val="13"/>
        <w:spacing w:line="240" w:lineRule="auto"/>
        <w:ind w:firstLine="709"/>
        <w:jc w:val="both"/>
        <w:rPr>
          <w:sz w:val="28"/>
          <w:szCs w:val="28"/>
        </w:rPr>
      </w:pPr>
      <w:r>
        <w:rPr>
          <w:sz w:val="28"/>
          <w:szCs w:val="28"/>
        </w:rPr>
        <w:t>ситуационный план объектов недвижимости;</w:t>
      </w:r>
    </w:p>
    <w:p w:rsidR="00A840D6" w:rsidRDefault="00276F6D">
      <w:pPr>
        <w:pStyle w:val="13"/>
        <w:spacing w:line="240" w:lineRule="auto"/>
        <w:ind w:firstLine="709"/>
        <w:jc w:val="both"/>
        <w:rPr>
          <w:sz w:val="28"/>
          <w:szCs w:val="28"/>
        </w:rPr>
      </w:pPr>
      <w:r>
        <w:rPr>
          <w:sz w:val="28"/>
          <w:szCs w:val="28"/>
        </w:rPr>
        <w:t>фотографии объектов имущества;</w:t>
      </w:r>
    </w:p>
    <w:p w:rsidR="00A840D6" w:rsidRDefault="00276F6D">
      <w:pPr>
        <w:pStyle w:val="13"/>
        <w:spacing w:line="240" w:lineRule="auto"/>
        <w:ind w:firstLine="709"/>
        <w:jc w:val="both"/>
        <w:rPr>
          <w:sz w:val="28"/>
          <w:szCs w:val="28"/>
        </w:rPr>
      </w:pPr>
      <w:r>
        <w:rPr>
          <w:sz w:val="28"/>
          <w:szCs w:val="28"/>
        </w:rPr>
        <w:t>сведения о потенциальных покупателях;</w:t>
      </w:r>
    </w:p>
    <w:p w:rsidR="00A840D6" w:rsidRDefault="00276F6D">
      <w:pPr>
        <w:pStyle w:val="13"/>
        <w:spacing w:line="240" w:lineRule="auto"/>
        <w:ind w:firstLine="709"/>
        <w:jc w:val="both"/>
        <w:rPr>
          <w:sz w:val="28"/>
          <w:szCs w:val="28"/>
        </w:rPr>
      </w:pPr>
      <w:r>
        <w:rPr>
          <w:sz w:val="28"/>
          <w:szCs w:val="28"/>
        </w:rPr>
        <w:t xml:space="preserve">копия </w:t>
      </w:r>
      <w:r w:rsidR="00C907E4">
        <w:rPr>
          <w:sz w:val="28"/>
          <w:szCs w:val="28"/>
        </w:rPr>
        <w:t xml:space="preserve">учетно-технической </w:t>
      </w:r>
      <w:r w:rsidR="00C907E4" w:rsidRPr="00F13751">
        <w:rPr>
          <w:sz w:val="28"/>
          <w:szCs w:val="28"/>
        </w:rPr>
        <w:t xml:space="preserve">(в том числе </w:t>
      </w:r>
      <w:r w:rsidR="00C907E4" w:rsidRPr="00F13751">
        <w:rPr>
          <w:color w:val="000000"/>
          <w:sz w:val="28"/>
          <w:szCs w:val="30"/>
          <w:shd w:val="clear" w:color="auto" w:fill="FFFFFF"/>
        </w:rPr>
        <w:t>исполнительной)</w:t>
      </w:r>
      <w:r w:rsidR="00C907E4">
        <w:rPr>
          <w:color w:val="000000"/>
          <w:sz w:val="30"/>
          <w:szCs w:val="30"/>
          <w:shd w:val="clear" w:color="auto" w:fill="FFFFFF"/>
        </w:rPr>
        <w:t xml:space="preserve"> </w:t>
      </w:r>
      <w:r w:rsidR="00F13751">
        <w:rPr>
          <w:color w:val="000000"/>
          <w:sz w:val="28"/>
          <w:szCs w:val="30"/>
          <w:shd w:val="clear" w:color="auto" w:fill="FFFFFF"/>
        </w:rPr>
        <w:t xml:space="preserve">документации </w:t>
      </w:r>
      <w:r w:rsidR="00F13751">
        <w:rPr>
          <w:color w:val="000000"/>
          <w:sz w:val="28"/>
          <w:szCs w:val="30"/>
          <w:shd w:val="clear" w:color="auto" w:fill="FFFFFF"/>
        </w:rPr>
        <w:br/>
      </w:r>
      <w:r>
        <w:rPr>
          <w:sz w:val="28"/>
          <w:szCs w:val="28"/>
        </w:rPr>
        <w:t>в отношении недвижимого имущества;</w:t>
      </w:r>
    </w:p>
    <w:p w:rsidR="00A840D6" w:rsidRDefault="00276F6D">
      <w:pPr>
        <w:pStyle w:val="13"/>
        <w:spacing w:line="240" w:lineRule="auto"/>
        <w:ind w:firstLine="709"/>
        <w:jc w:val="both"/>
        <w:rPr>
          <w:sz w:val="28"/>
          <w:szCs w:val="28"/>
        </w:rPr>
      </w:pPr>
      <w:r>
        <w:rPr>
          <w:sz w:val="28"/>
          <w:szCs w:val="28"/>
        </w:rPr>
        <w:t>справка, обосновывающая стоимость реализации актива, включающая информацию о проведении силами Общества маркетинговых исследований рынка и ссылки на соответствующие источники;</w:t>
      </w:r>
    </w:p>
    <w:p w:rsidR="00A840D6" w:rsidRDefault="00276F6D">
      <w:pPr>
        <w:pStyle w:val="13"/>
        <w:spacing w:line="240" w:lineRule="auto"/>
        <w:ind w:firstLine="709"/>
        <w:jc w:val="both"/>
        <w:rPr>
          <w:sz w:val="28"/>
          <w:szCs w:val="28"/>
        </w:rPr>
      </w:pPr>
      <w:r>
        <w:rPr>
          <w:sz w:val="28"/>
          <w:szCs w:val="28"/>
        </w:rPr>
        <w:t>проект договора, положения которого соответствуют предложениям Общества о порядке и способах реализации актива (для односторонних сделок – справка о существенных условиях сделки).</w:t>
      </w:r>
    </w:p>
    <w:p w:rsidR="00A840D6" w:rsidRDefault="00276F6D">
      <w:pPr>
        <w:pStyle w:val="13"/>
        <w:spacing w:line="240" w:lineRule="auto"/>
        <w:ind w:firstLine="709"/>
        <w:jc w:val="both"/>
        <w:rPr>
          <w:sz w:val="28"/>
          <w:szCs w:val="28"/>
        </w:rPr>
      </w:pPr>
      <w:r>
        <w:rPr>
          <w:sz w:val="28"/>
          <w:szCs w:val="28"/>
        </w:rPr>
        <w:t>2.4.2. По активам в форме акций, долей и паев Общества, дочерних обществ и</w:t>
      </w:r>
      <w:r w:rsidR="002B0AFD">
        <w:rPr>
          <w:sz w:val="28"/>
          <w:szCs w:val="28"/>
        </w:rPr>
        <w:t>ли</w:t>
      </w:r>
      <w:r>
        <w:rPr>
          <w:sz w:val="28"/>
          <w:szCs w:val="28"/>
        </w:rPr>
        <w:t xml:space="preserve"> подконтрольных Обществу организаций:</w:t>
      </w:r>
    </w:p>
    <w:p w:rsidR="00A840D6" w:rsidRDefault="00276F6D">
      <w:pPr>
        <w:pStyle w:val="13"/>
        <w:spacing w:line="240" w:lineRule="auto"/>
        <w:ind w:firstLine="709"/>
        <w:jc w:val="both"/>
        <w:rPr>
          <w:sz w:val="28"/>
          <w:szCs w:val="28"/>
        </w:rPr>
      </w:pPr>
      <w:r>
        <w:rPr>
          <w:sz w:val="28"/>
          <w:szCs w:val="28"/>
        </w:rPr>
        <w:t xml:space="preserve">проекты решений органов управления Общества, дочерних обществ </w:t>
      </w:r>
      <w:r>
        <w:rPr>
          <w:sz w:val="28"/>
          <w:szCs w:val="28"/>
        </w:rPr>
        <w:br/>
        <w:t>и</w:t>
      </w:r>
      <w:r w:rsidR="002B0AFD">
        <w:rPr>
          <w:sz w:val="28"/>
          <w:szCs w:val="28"/>
        </w:rPr>
        <w:t>ли</w:t>
      </w:r>
      <w:r>
        <w:rPr>
          <w:sz w:val="28"/>
          <w:szCs w:val="28"/>
        </w:rPr>
        <w:t xml:space="preserve"> подконтрольных Обществу организаций о совершении сделок по отчуждению непрофильных активов, содержащих наименование актива и иные идентификационные данные, способ и цену реализации, срок рассрочки платежа (в случае ее предоставления), иные необходимые для реализации актива сведения;</w:t>
      </w:r>
    </w:p>
    <w:p w:rsidR="00A840D6" w:rsidRDefault="00276F6D">
      <w:pPr>
        <w:pStyle w:val="13"/>
        <w:spacing w:line="240" w:lineRule="auto"/>
        <w:ind w:firstLine="709"/>
        <w:jc w:val="both"/>
        <w:rPr>
          <w:sz w:val="28"/>
          <w:szCs w:val="28"/>
        </w:rPr>
      </w:pPr>
      <w:r>
        <w:rPr>
          <w:sz w:val="28"/>
          <w:szCs w:val="28"/>
        </w:rPr>
        <w:lastRenderedPageBreak/>
        <w:t>сведения о наличии (отсутствии) обременения акций, долей, паев;</w:t>
      </w:r>
    </w:p>
    <w:p w:rsidR="00A840D6" w:rsidRDefault="00276F6D">
      <w:pPr>
        <w:pStyle w:val="13"/>
        <w:spacing w:line="240" w:lineRule="auto"/>
        <w:ind w:firstLine="709"/>
        <w:jc w:val="both"/>
        <w:rPr>
          <w:sz w:val="28"/>
          <w:szCs w:val="28"/>
        </w:rPr>
      </w:pPr>
      <w:r>
        <w:rPr>
          <w:sz w:val="28"/>
          <w:szCs w:val="28"/>
        </w:rPr>
        <w:t>сведения о наличии (отсутствии) у объекта вложений прав пользования недрами;</w:t>
      </w:r>
    </w:p>
    <w:p w:rsidR="00A840D6" w:rsidRDefault="00276F6D">
      <w:pPr>
        <w:pStyle w:val="13"/>
        <w:spacing w:line="240" w:lineRule="auto"/>
        <w:ind w:firstLine="709"/>
        <w:jc w:val="both"/>
        <w:rPr>
          <w:sz w:val="28"/>
          <w:szCs w:val="28"/>
        </w:rPr>
      </w:pPr>
      <w:r>
        <w:rPr>
          <w:sz w:val="28"/>
          <w:szCs w:val="28"/>
        </w:rPr>
        <w:t>отчет независимого оценщика об оценке рыночной стоимости актива;</w:t>
      </w:r>
    </w:p>
    <w:p w:rsidR="00A840D6" w:rsidRDefault="00276F6D">
      <w:pPr>
        <w:pStyle w:val="13"/>
        <w:widowControl/>
        <w:spacing w:line="240" w:lineRule="auto"/>
        <w:ind w:firstLine="709"/>
        <w:jc w:val="both"/>
        <w:rPr>
          <w:sz w:val="28"/>
          <w:szCs w:val="28"/>
        </w:rPr>
      </w:pPr>
      <w:r>
        <w:rPr>
          <w:sz w:val="28"/>
          <w:szCs w:val="28"/>
        </w:rPr>
        <w:t>экспертиза отчета независимого оценщика об оценке рыночной стоимости актива;</w:t>
      </w:r>
    </w:p>
    <w:p w:rsidR="00A840D6" w:rsidRDefault="00276F6D">
      <w:pPr>
        <w:pStyle w:val="13"/>
        <w:spacing w:line="240" w:lineRule="auto"/>
        <w:ind w:firstLine="709"/>
        <w:jc w:val="both"/>
        <w:rPr>
          <w:sz w:val="28"/>
          <w:szCs w:val="28"/>
        </w:rPr>
      </w:pPr>
      <w:r>
        <w:rPr>
          <w:sz w:val="28"/>
          <w:szCs w:val="28"/>
        </w:rPr>
        <w:t xml:space="preserve">заверенная копия бухгалтерской отчетности объекта вложений </w:t>
      </w:r>
      <w:r>
        <w:rPr>
          <w:sz w:val="28"/>
          <w:szCs w:val="28"/>
        </w:rPr>
        <w:br/>
        <w:t>на последнюю отчетную дату;</w:t>
      </w:r>
    </w:p>
    <w:p w:rsidR="00A840D6" w:rsidRDefault="00276F6D">
      <w:pPr>
        <w:pStyle w:val="13"/>
        <w:spacing w:line="240" w:lineRule="auto"/>
        <w:ind w:firstLine="709"/>
        <w:jc w:val="both"/>
        <w:rPr>
          <w:sz w:val="28"/>
          <w:szCs w:val="28"/>
        </w:rPr>
      </w:pPr>
      <w:r>
        <w:rPr>
          <w:sz w:val="28"/>
          <w:szCs w:val="28"/>
        </w:rPr>
        <w:t>заверенная копия отчета об итогах последнего выпуска ценных бумаг;</w:t>
      </w:r>
    </w:p>
    <w:p w:rsidR="00A840D6" w:rsidRDefault="00276F6D">
      <w:pPr>
        <w:pStyle w:val="13"/>
        <w:spacing w:line="240" w:lineRule="auto"/>
        <w:ind w:firstLine="709"/>
        <w:jc w:val="both"/>
        <w:rPr>
          <w:sz w:val="28"/>
          <w:szCs w:val="28"/>
        </w:rPr>
      </w:pPr>
      <w:r>
        <w:rPr>
          <w:sz w:val="28"/>
          <w:szCs w:val="28"/>
        </w:rPr>
        <w:t>заверенные копии учредительных документов, а также свидетельств о государственной регистрации объекта вложений;</w:t>
      </w:r>
    </w:p>
    <w:p w:rsidR="00A840D6" w:rsidRDefault="00276F6D">
      <w:pPr>
        <w:pStyle w:val="13"/>
        <w:spacing w:line="240" w:lineRule="auto"/>
        <w:ind w:firstLine="709"/>
        <w:jc w:val="both"/>
        <w:rPr>
          <w:spacing w:val="-6"/>
          <w:sz w:val="28"/>
          <w:szCs w:val="28"/>
        </w:rPr>
      </w:pPr>
      <w:r>
        <w:rPr>
          <w:sz w:val="28"/>
          <w:szCs w:val="28"/>
        </w:rPr>
        <w:t xml:space="preserve">информация о результатах проведения анализа состояния финансово-хозяйственных взаимоотношений Общества, дочерних обществ </w:t>
      </w:r>
      <w:r>
        <w:rPr>
          <w:sz w:val="28"/>
          <w:szCs w:val="28"/>
        </w:rPr>
        <w:br/>
        <w:t>и</w:t>
      </w:r>
      <w:r w:rsidR="002B0AFD">
        <w:rPr>
          <w:sz w:val="28"/>
          <w:szCs w:val="28"/>
        </w:rPr>
        <w:t>ли</w:t>
      </w:r>
      <w:r>
        <w:rPr>
          <w:sz w:val="28"/>
          <w:szCs w:val="28"/>
        </w:rPr>
        <w:t xml:space="preserve"> подконтрольных Обществу организаций с объектами вложений, а также объектов вложений с третьими лицами перед деинвестированием </w:t>
      </w:r>
      <w:r>
        <w:rPr>
          <w:sz w:val="28"/>
          <w:szCs w:val="28"/>
        </w:rPr>
        <w:br/>
        <w:t>в соответствии с Регламентом проведения анализа состояния финансово-хозяйственных взаимоотношений ПАО</w:t>
      </w:r>
      <w:r>
        <w:t> </w:t>
      </w:r>
      <w:r>
        <w:rPr>
          <w:sz w:val="28"/>
          <w:szCs w:val="28"/>
        </w:rPr>
        <w:t xml:space="preserve">«Газпром» и его дочерних обществ </w:t>
      </w:r>
      <w:r>
        <w:rPr>
          <w:sz w:val="28"/>
          <w:szCs w:val="28"/>
        </w:rPr>
        <w:br/>
        <w:t xml:space="preserve">с объектами вложений, а также объектов вложений с третьими лицами перед </w:t>
      </w:r>
      <w:r w:rsidRPr="00F13751">
        <w:rPr>
          <w:spacing w:val="-4"/>
          <w:sz w:val="28"/>
          <w:szCs w:val="28"/>
        </w:rPr>
        <w:t>деинвестированием, утвержденным приказ</w:t>
      </w:r>
      <w:r w:rsidR="00F13751">
        <w:rPr>
          <w:spacing w:val="-4"/>
          <w:sz w:val="28"/>
          <w:szCs w:val="28"/>
        </w:rPr>
        <w:t xml:space="preserve">ом ПАО «Газпром» от 10.04.2017 </w:t>
      </w:r>
      <w:r w:rsidRPr="00F13751">
        <w:rPr>
          <w:spacing w:val="-4"/>
          <w:sz w:val="28"/>
          <w:szCs w:val="28"/>
        </w:rPr>
        <w:t>№ 209</w:t>
      </w:r>
      <w:r>
        <w:rPr>
          <w:spacing w:val="-6"/>
          <w:sz w:val="28"/>
          <w:szCs w:val="28"/>
        </w:rPr>
        <w:t>.</w:t>
      </w:r>
    </w:p>
    <w:p w:rsidR="00A840D6" w:rsidRDefault="00276F6D" w:rsidP="00FD3FAC">
      <w:pPr>
        <w:pStyle w:val="13"/>
        <w:numPr>
          <w:ilvl w:val="1"/>
          <w:numId w:val="20"/>
        </w:numPr>
        <w:spacing w:line="238" w:lineRule="auto"/>
        <w:ind w:firstLine="709"/>
        <w:jc w:val="both"/>
        <w:rPr>
          <w:sz w:val="28"/>
          <w:szCs w:val="28"/>
        </w:rPr>
      </w:pPr>
      <w:r>
        <w:rPr>
          <w:sz w:val="28"/>
          <w:szCs w:val="28"/>
        </w:rPr>
        <w:t>Для внесения вопроса об отнесении принадлежащих Обществу, дочерним обществам и</w:t>
      </w:r>
      <w:r w:rsidR="002B0AFD">
        <w:rPr>
          <w:sz w:val="28"/>
          <w:szCs w:val="28"/>
        </w:rPr>
        <w:t>ли</w:t>
      </w:r>
      <w:r>
        <w:rPr>
          <w:sz w:val="28"/>
          <w:szCs w:val="28"/>
        </w:rPr>
        <w:t xml:space="preserve"> подконтрольным Обществу организациям активов</w:t>
      </w:r>
      <w:r>
        <w:rPr>
          <w:sz w:val="28"/>
          <w:szCs w:val="28"/>
        </w:rPr>
        <w:br/>
        <w:t xml:space="preserve">к категории непрофильных активов на рассмотрение Комиссии </w:t>
      </w:r>
      <w:r>
        <w:rPr>
          <w:sz w:val="28"/>
          <w:szCs w:val="28"/>
        </w:rPr>
        <w:br/>
        <w:t>Общества, Комиссии дочернего общества или Комиссии подконтрольной Обществу организации в случаях, предусмотренных абзацем 4 пункта 2.1 Положения, соответствующим инициатором (из числа органов и лиц, указанных пункте 2.3 настоящего Положе</w:t>
      </w:r>
      <w:r w:rsidR="00FD3FAC">
        <w:rPr>
          <w:sz w:val="28"/>
          <w:szCs w:val="28"/>
        </w:rPr>
        <w:t xml:space="preserve">ния) предоставляются документы </w:t>
      </w:r>
      <w:r>
        <w:rPr>
          <w:sz w:val="28"/>
          <w:szCs w:val="28"/>
        </w:rPr>
        <w:t>и информация, определенные пунктом 2.4 настоящего Положения.</w:t>
      </w:r>
    </w:p>
    <w:p w:rsidR="00A840D6" w:rsidRDefault="00276F6D" w:rsidP="00FD3FAC">
      <w:pPr>
        <w:pStyle w:val="13"/>
        <w:spacing w:line="238" w:lineRule="auto"/>
        <w:ind w:firstLine="709"/>
        <w:jc w:val="both"/>
        <w:rPr>
          <w:sz w:val="28"/>
          <w:szCs w:val="28"/>
        </w:rPr>
      </w:pPr>
      <w:r>
        <w:rPr>
          <w:sz w:val="28"/>
          <w:szCs w:val="28"/>
        </w:rPr>
        <w:t>При этом в данном случа</w:t>
      </w:r>
      <w:r w:rsidR="00FD3FAC">
        <w:rPr>
          <w:sz w:val="28"/>
          <w:szCs w:val="28"/>
        </w:rPr>
        <w:t>е предоставляются согласованные</w:t>
      </w:r>
      <w:r w:rsidR="00FD3FAC">
        <w:rPr>
          <w:sz w:val="28"/>
          <w:szCs w:val="28"/>
        </w:rPr>
        <w:br/>
      </w:r>
      <w:r>
        <w:rPr>
          <w:sz w:val="28"/>
          <w:szCs w:val="28"/>
        </w:rPr>
        <w:t>с ответственным подразделением Общества, дочернего общества</w:t>
      </w:r>
      <w:r w:rsidR="002458E7">
        <w:rPr>
          <w:sz w:val="28"/>
          <w:szCs w:val="28"/>
        </w:rPr>
        <w:t>,</w:t>
      </w:r>
      <w:r w:rsidR="00C907E4">
        <w:rPr>
          <w:sz w:val="28"/>
          <w:szCs w:val="28"/>
        </w:rPr>
        <w:t xml:space="preserve"> </w:t>
      </w:r>
      <w:r>
        <w:rPr>
          <w:sz w:val="28"/>
          <w:szCs w:val="28"/>
        </w:rPr>
        <w:t xml:space="preserve">подконтрольной Обществу организации обоснование целесообразности отчуждения актива, а также предполагаемого способа его отчуждения, </w:t>
      </w:r>
      <w:r>
        <w:rPr>
          <w:sz w:val="28"/>
          <w:szCs w:val="28"/>
        </w:rPr>
        <w:br/>
        <w:t xml:space="preserve">и предложения о составе предпродажной подготовки актива и необходимости оценки его рыночной стоимости (согласование указанных обоснования </w:t>
      </w:r>
      <w:r>
        <w:rPr>
          <w:sz w:val="28"/>
          <w:szCs w:val="28"/>
        </w:rPr>
        <w:br/>
        <w:t>и предложений ответственны</w:t>
      </w:r>
      <w:r w:rsidR="00C907E4">
        <w:rPr>
          <w:sz w:val="28"/>
          <w:szCs w:val="28"/>
        </w:rPr>
        <w:t xml:space="preserve">м подразделением ПАО «Газпром» </w:t>
      </w:r>
      <w:r>
        <w:rPr>
          <w:sz w:val="28"/>
          <w:szCs w:val="28"/>
        </w:rPr>
        <w:t>в данном случае не предоставляется).</w:t>
      </w:r>
    </w:p>
    <w:p w:rsidR="00A840D6" w:rsidRDefault="00276F6D" w:rsidP="00FD3FAC">
      <w:pPr>
        <w:pStyle w:val="15"/>
        <w:keepNext/>
        <w:keepLines/>
        <w:numPr>
          <w:ilvl w:val="0"/>
          <w:numId w:val="24"/>
        </w:numPr>
        <w:tabs>
          <w:tab w:val="left" w:pos="332"/>
          <w:tab w:val="left" w:pos="1134"/>
        </w:tabs>
        <w:spacing w:after="0" w:line="238" w:lineRule="auto"/>
        <w:jc w:val="both"/>
        <w:rPr>
          <w:sz w:val="28"/>
          <w:szCs w:val="28"/>
        </w:rPr>
      </w:pPr>
      <w:bookmarkStart w:id="5" w:name="_Toc101786661"/>
      <w:bookmarkStart w:id="6" w:name="_Toc101786670"/>
      <w:bookmarkStart w:id="7" w:name="_Toc101786662"/>
      <w:bookmarkStart w:id="8" w:name="_Toc101786671"/>
      <w:bookmarkStart w:id="9" w:name="_Toc110254269"/>
      <w:bookmarkEnd w:id="5"/>
      <w:bookmarkEnd w:id="6"/>
      <w:bookmarkEnd w:id="7"/>
      <w:bookmarkEnd w:id="8"/>
      <w:r>
        <w:rPr>
          <w:sz w:val="28"/>
          <w:szCs w:val="28"/>
        </w:rPr>
        <w:t>Предпродажная подготовка непрофильных активов</w:t>
      </w:r>
      <w:bookmarkEnd w:id="9"/>
      <w:r>
        <w:rPr>
          <w:sz w:val="28"/>
          <w:szCs w:val="28"/>
        </w:rPr>
        <w:t xml:space="preserve"> </w:t>
      </w:r>
    </w:p>
    <w:p w:rsidR="00A840D6" w:rsidRDefault="00276F6D" w:rsidP="00FD3FAC">
      <w:pPr>
        <w:spacing w:line="238" w:lineRule="auto"/>
        <w:ind w:firstLine="709"/>
        <w:jc w:val="both"/>
        <w:rPr>
          <w:sz w:val="28"/>
          <w:szCs w:val="28"/>
        </w:rPr>
      </w:pPr>
      <w:r>
        <w:rPr>
          <w:sz w:val="28"/>
          <w:szCs w:val="28"/>
        </w:rPr>
        <w:t>3.1. В отношении непрофильных активов до момента их отчуждения проводится предпродажная подготовка, включающая:</w:t>
      </w:r>
    </w:p>
    <w:p w:rsidR="00A840D6" w:rsidRDefault="00276F6D" w:rsidP="00FD3FAC">
      <w:pPr>
        <w:spacing w:line="238" w:lineRule="auto"/>
        <w:ind w:firstLine="709"/>
        <w:jc w:val="both"/>
        <w:rPr>
          <w:sz w:val="28"/>
          <w:szCs w:val="28"/>
        </w:rPr>
      </w:pPr>
      <w:r>
        <w:rPr>
          <w:sz w:val="28"/>
          <w:szCs w:val="28"/>
        </w:rPr>
        <w:t>мероприятия, направленные на повышение инвестиционной привлекательности и рыночной стоимости активов (оформление права собственности на объекты недвижимости и занимаемые ими земельные участки, повышение ликвидности, обеспечение сохранности и отсутствия обременений);</w:t>
      </w:r>
    </w:p>
    <w:p w:rsidR="00A840D6" w:rsidRDefault="00276F6D" w:rsidP="00FD3FAC">
      <w:pPr>
        <w:spacing w:line="238" w:lineRule="auto"/>
        <w:ind w:firstLine="709"/>
        <w:jc w:val="both"/>
        <w:rPr>
          <w:sz w:val="28"/>
          <w:szCs w:val="28"/>
        </w:rPr>
      </w:pPr>
      <w:r>
        <w:rPr>
          <w:sz w:val="28"/>
          <w:szCs w:val="28"/>
        </w:rPr>
        <w:t>поиск потенциальных покупателей;</w:t>
      </w:r>
    </w:p>
    <w:p w:rsidR="00A840D6" w:rsidRDefault="00276F6D" w:rsidP="00FD3FAC">
      <w:pPr>
        <w:spacing w:line="238" w:lineRule="auto"/>
        <w:ind w:firstLine="709"/>
        <w:jc w:val="both"/>
        <w:rPr>
          <w:sz w:val="28"/>
          <w:szCs w:val="28"/>
        </w:rPr>
      </w:pPr>
      <w:r>
        <w:rPr>
          <w:sz w:val="28"/>
          <w:szCs w:val="28"/>
        </w:rPr>
        <w:t>оценку рыночной стоимости активов.</w:t>
      </w:r>
    </w:p>
    <w:p w:rsidR="00A840D6" w:rsidRDefault="00276F6D">
      <w:pPr>
        <w:ind w:firstLine="709"/>
        <w:jc w:val="both"/>
        <w:rPr>
          <w:sz w:val="28"/>
        </w:rPr>
      </w:pPr>
      <w:r>
        <w:rPr>
          <w:sz w:val="28"/>
        </w:rPr>
        <w:lastRenderedPageBreak/>
        <w:t>3.2. Отчеты об оценке рыночной стоимости непрофильных активов балансовая (остаточная), кадастровая (для земельных участков) или рыночная стоимость которых превышает 200 000 000 (двести миллионов) рублей с учетом НДС, направляются Обществом для рассмотрения в ООО «Газпром межрегионгаз» с целью их последующего направления в ПАО «Газпром»,</w:t>
      </w:r>
      <w:r w:rsidR="00FD3FAC">
        <w:rPr>
          <w:sz w:val="28"/>
        </w:rPr>
        <w:br/>
      </w:r>
      <w:r>
        <w:rPr>
          <w:sz w:val="28"/>
        </w:rPr>
        <w:t>в отношении непрофильных активов, принадлежащих Обществу, дочерним обществам и</w:t>
      </w:r>
      <w:r w:rsidR="00BF238C">
        <w:rPr>
          <w:sz w:val="28"/>
        </w:rPr>
        <w:t>ли</w:t>
      </w:r>
      <w:r>
        <w:rPr>
          <w:sz w:val="28"/>
        </w:rPr>
        <w:t xml:space="preserve"> подконтрольным Обществу организациям.</w:t>
      </w:r>
    </w:p>
    <w:p w:rsidR="00A840D6" w:rsidRDefault="00276F6D">
      <w:pPr>
        <w:pStyle w:val="13"/>
        <w:spacing w:after="120" w:line="240" w:lineRule="auto"/>
        <w:ind w:firstLine="720"/>
        <w:jc w:val="both"/>
        <w:rPr>
          <w:sz w:val="28"/>
          <w:szCs w:val="28"/>
        </w:rPr>
      </w:pPr>
      <w:r>
        <w:rPr>
          <w:sz w:val="28"/>
          <w:szCs w:val="28"/>
        </w:rPr>
        <w:t>Мероприятия по отчуждению указанных активов осуществляются Обществом, дочерними обществами и</w:t>
      </w:r>
      <w:r w:rsidR="00BF238C">
        <w:rPr>
          <w:sz w:val="28"/>
          <w:szCs w:val="28"/>
        </w:rPr>
        <w:t>ли</w:t>
      </w:r>
      <w:r>
        <w:rPr>
          <w:sz w:val="28"/>
          <w:szCs w:val="28"/>
        </w:rPr>
        <w:t xml:space="preserve"> подконтрольными Обществу организациями после получения положительного заключения Департамента </w:t>
      </w:r>
      <w:r>
        <w:rPr>
          <w:sz w:val="28"/>
          <w:szCs w:val="28"/>
        </w:rPr>
        <w:br/>
        <w:t xml:space="preserve">на отчеты об оценке их рыночной стоимости (информация о заключении Департамента в возможно короткий срок после его получения направляется </w:t>
      </w:r>
      <w:r>
        <w:rPr>
          <w:sz w:val="28"/>
          <w:szCs w:val="28"/>
        </w:rPr>
        <w:br/>
        <w:t xml:space="preserve">ООО «Газпром межрегионгаз» в адрес Общества, в том числе в отношении активов дочерних обществ и подконтрольных Обществу организаций </w:t>
      </w:r>
      <w:r>
        <w:rPr>
          <w:sz w:val="28"/>
          <w:szCs w:val="28"/>
        </w:rPr>
        <w:br/>
        <w:t>(при этом Общество в возможно короткий срок письменно уведомляет соответствующие дочерние общества и подконтрольные Обществу организации)).</w:t>
      </w:r>
    </w:p>
    <w:p w:rsidR="00A840D6" w:rsidRDefault="00276F6D">
      <w:pPr>
        <w:pStyle w:val="15"/>
        <w:keepNext/>
        <w:keepLines/>
        <w:numPr>
          <w:ilvl w:val="0"/>
          <w:numId w:val="24"/>
        </w:numPr>
        <w:tabs>
          <w:tab w:val="left" w:pos="332"/>
          <w:tab w:val="left" w:pos="1134"/>
        </w:tabs>
        <w:spacing w:before="240" w:line="240" w:lineRule="auto"/>
        <w:jc w:val="both"/>
        <w:rPr>
          <w:sz w:val="28"/>
          <w:szCs w:val="28"/>
        </w:rPr>
      </w:pPr>
      <w:bookmarkStart w:id="10" w:name="_Toc110254270"/>
      <w:r>
        <w:rPr>
          <w:sz w:val="28"/>
          <w:szCs w:val="28"/>
        </w:rPr>
        <w:t>Порядок отчуждения непрофильных активов</w:t>
      </w:r>
      <w:bookmarkEnd w:id="10"/>
    </w:p>
    <w:p w:rsidR="00A840D6" w:rsidRDefault="00276F6D">
      <w:pPr>
        <w:tabs>
          <w:tab w:val="left" w:pos="1276"/>
        </w:tabs>
        <w:ind w:firstLine="709"/>
        <w:jc w:val="both"/>
        <w:rPr>
          <w:sz w:val="28"/>
          <w:szCs w:val="28"/>
        </w:rPr>
      </w:pPr>
      <w:r>
        <w:rPr>
          <w:sz w:val="28"/>
          <w:szCs w:val="28"/>
        </w:rPr>
        <w:t xml:space="preserve">4.1. Отчуждение непрофильных активов осуществляется в соответствии с подходами, установленными </w:t>
      </w:r>
      <w:r w:rsidR="00C907E4">
        <w:rPr>
          <w:sz w:val="28"/>
          <w:szCs w:val="28"/>
        </w:rPr>
        <w:t>Методическими рекомендациями по выявлению и реализации непрофильных активов</w:t>
      </w:r>
      <w:r>
        <w:rPr>
          <w:sz w:val="28"/>
          <w:szCs w:val="28"/>
        </w:rPr>
        <w:t xml:space="preserve">, утвержденными распоряжением Правительства Российской Федерации от 10.05.2017 № 894-р, Программой отчуждения непрофильных активов ПАО «Газпром», утвержденной решением Совета директоров ПАО «Газпром» от 16.01.2018 № 3066, Положением </w:t>
      </w:r>
      <w:r w:rsidR="00C907E4">
        <w:rPr>
          <w:sz w:val="28"/>
          <w:szCs w:val="28"/>
        </w:rPr>
        <w:br/>
      </w:r>
      <w:r>
        <w:rPr>
          <w:sz w:val="28"/>
          <w:szCs w:val="28"/>
        </w:rPr>
        <w:t>о порядке отчуждения непрофильных активов ПАО «Газпром» и организаций Группы Газпром, утвержденным приказом ПАО «Газпром» от 28.02.2022 № 71, а также настоящим Положением.</w:t>
      </w:r>
    </w:p>
    <w:p w:rsidR="00A840D6" w:rsidRDefault="00276F6D">
      <w:pPr>
        <w:tabs>
          <w:tab w:val="left" w:pos="1276"/>
        </w:tabs>
        <w:ind w:firstLine="709"/>
        <w:jc w:val="both"/>
        <w:rPr>
          <w:sz w:val="28"/>
          <w:szCs w:val="28"/>
        </w:rPr>
      </w:pPr>
      <w:r>
        <w:rPr>
          <w:sz w:val="28"/>
          <w:szCs w:val="28"/>
        </w:rPr>
        <w:t xml:space="preserve">Преимущественным способом отчуждения непрофильных активов является их продажа на открытых торгах, проводимых в форме аукциона </w:t>
      </w:r>
      <w:r>
        <w:rPr>
          <w:sz w:val="28"/>
          <w:szCs w:val="28"/>
        </w:rPr>
        <w:br/>
        <w:t xml:space="preserve">или конкурса. </w:t>
      </w:r>
    </w:p>
    <w:p w:rsidR="00A840D6" w:rsidRDefault="00276F6D">
      <w:pPr>
        <w:ind w:firstLine="709"/>
        <w:jc w:val="both"/>
        <w:rPr>
          <w:sz w:val="28"/>
        </w:rPr>
      </w:pPr>
      <w:r>
        <w:rPr>
          <w:sz w:val="28"/>
          <w:szCs w:val="28"/>
        </w:rPr>
        <w:t xml:space="preserve">4.2. Решения об отчуждении непрофильных активов, способе и условиях их отчуждения принимаются уполномоченным органом управления Общества, дочернего общества или подконтрольной Обществу организации в порядке, установленном учредительными и внутренними документами соответствующей организации, а также настоящим Положением, </w:t>
      </w:r>
      <w:r>
        <w:rPr>
          <w:sz w:val="28"/>
        </w:rPr>
        <w:t>на основании решений Комиссии ПАО «Газпром», Комиссии ООО «Газпром межрегионгаз», Комиссии Общества, Комиссии дочернего общества или Комиссии подконтрольной Обществу организации, в соответствии с пунктами 2.1 и 2.2 настоящего Положения.</w:t>
      </w:r>
    </w:p>
    <w:p w:rsidR="00A840D6" w:rsidRDefault="00276F6D">
      <w:pPr>
        <w:ind w:firstLine="709"/>
        <w:jc w:val="both"/>
        <w:rPr>
          <w:sz w:val="28"/>
        </w:rPr>
      </w:pPr>
      <w:r>
        <w:rPr>
          <w:sz w:val="28"/>
        </w:rPr>
        <w:t>4.3. Предложения об отчуждении, изменении условий отчуждения непрофильных активов Общества, дочерних обществ и</w:t>
      </w:r>
      <w:r w:rsidR="008B7B33">
        <w:rPr>
          <w:sz w:val="28"/>
        </w:rPr>
        <w:t>ли</w:t>
      </w:r>
      <w:r>
        <w:rPr>
          <w:sz w:val="28"/>
        </w:rPr>
        <w:t xml:space="preserve"> подконтрольных Обществу организаций подлежат согласованию с ПАО «Газпром» в соответствии с требованиями настоящего Положения, при этом указанное согласование осуществляется на основании письменного обращения </w:t>
      </w:r>
      <w:r>
        <w:rPr>
          <w:sz w:val="28"/>
        </w:rPr>
        <w:br/>
        <w:t>ООО «Газпром межрегионгаз» в адрес ПАО «Газпром».</w:t>
      </w:r>
    </w:p>
    <w:p w:rsidR="00A840D6" w:rsidRDefault="00276F6D" w:rsidP="00FD3FAC">
      <w:pPr>
        <w:spacing w:line="233" w:lineRule="auto"/>
        <w:ind w:firstLine="709"/>
        <w:jc w:val="both"/>
        <w:rPr>
          <w:sz w:val="28"/>
        </w:rPr>
      </w:pPr>
      <w:r>
        <w:rPr>
          <w:sz w:val="28"/>
        </w:rPr>
        <w:lastRenderedPageBreak/>
        <w:t xml:space="preserve">Соответствующие письменные обращения ООО «Газпром межрегионгаз» в соответствии с пунктами 4.4–4.7 настоящего Положения направляются </w:t>
      </w:r>
      <w:r>
        <w:rPr>
          <w:sz w:val="28"/>
        </w:rPr>
        <w:br/>
        <w:t xml:space="preserve">в адрес ПАО «Газпром» по инициативе ООО «Газпром межрегионгаз» и/или </w:t>
      </w:r>
      <w:r>
        <w:rPr>
          <w:sz w:val="28"/>
        </w:rPr>
        <w:br/>
        <w:t>на основании письменного мотивированного обращения Общества, в том числе в отношении непрофильных активов дочерних обществ и подконтрольных Обществу организаций.</w:t>
      </w:r>
    </w:p>
    <w:p w:rsidR="00A840D6" w:rsidRDefault="00276F6D" w:rsidP="00FD3FAC">
      <w:pPr>
        <w:tabs>
          <w:tab w:val="left" w:pos="1276"/>
        </w:tabs>
        <w:spacing w:line="233" w:lineRule="auto"/>
        <w:ind w:firstLine="709"/>
        <w:jc w:val="both"/>
        <w:rPr>
          <w:sz w:val="28"/>
          <w:szCs w:val="28"/>
        </w:rPr>
      </w:pPr>
      <w:r>
        <w:rPr>
          <w:sz w:val="28"/>
          <w:szCs w:val="28"/>
        </w:rPr>
        <w:t>4.4.</w:t>
      </w:r>
      <w:r>
        <w:rPr>
          <w:sz w:val="28"/>
          <w:szCs w:val="28"/>
        </w:rPr>
        <w:tab/>
      </w:r>
      <w:r>
        <w:rPr>
          <w:spacing w:val="-6"/>
          <w:sz w:val="28"/>
          <w:szCs w:val="28"/>
        </w:rPr>
        <w:t>В случае если торги на повышение цены по продаже непрофильного актива были как минимум дважды подряд признаны несостоявшимися по причине отсутствия заявок на участие в них, реализация этого непрофильного актива может быть продолжена по решению ПАО «Газпром», принятому на основании письменного обращения ООО «Газпром межрегионгаз» о согласовании условий дальнейшей реализации непрофильного актива, в том числе путем публичного предложения с пошаговым снижением цены отсечения (минимальной цены предложения), по которой он может быть продан (как правило, на 10–15% при каждых последующих торгах, но всего не более чем на 50% от начальной цены).</w:t>
      </w:r>
    </w:p>
    <w:p w:rsidR="00A840D6" w:rsidRDefault="00276F6D" w:rsidP="00FD3FAC">
      <w:pPr>
        <w:tabs>
          <w:tab w:val="left" w:pos="1276"/>
        </w:tabs>
        <w:spacing w:line="233" w:lineRule="auto"/>
        <w:ind w:firstLine="709"/>
        <w:jc w:val="both"/>
        <w:rPr>
          <w:sz w:val="28"/>
          <w:szCs w:val="28"/>
        </w:rPr>
      </w:pPr>
      <w:r>
        <w:rPr>
          <w:sz w:val="28"/>
          <w:szCs w:val="28"/>
        </w:rPr>
        <w:t>При этом по активам, балансовая (остаточная) стоимость по данным бухгалтерского учета или рыночная стоимость либо кадастровая стоимость (для земельных участков)</w:t>
      </w:r>
      <w:r>
        <w:rPr>
          <w:vertAlign w:val="superscript"/>
        </w:rPr>
        <w:footnoteReference w:id="3"/>
      </w:r>
      <w:r>
        <w:rPr>
          <w:sz w:val="28"/>
          <w:szCs w:val="28"/>
        </w:rPr>
        <w:t xml:space="preserve">  которых составляет менее 30 (тридцати) миллионов рублей с учетом НДС, предложенные ООО «Газпром межрегионгаз» условия их дальнейшей реализации считаются согласованными ПАО «Газпром» </w:t>
      </w:r>
      <w:r>
        <w:rPr>
          <w:sz w:val="28"/>
          <w:szCs w:val="28"/>
        </w:rPr>
        <w:br/>
        <w:t xml:space="preserve">в случае отсутствия письменных возражений ПАО «Газпром», направленных </w:t>
      </w:r>
      <w:r>
        <w:rPr>
          <w:sz w:val="28"/>
          <w:szCs w:val="28"/>
        </w:rPr>
        <w:br/>
        <w:t xml:space="preserve">в течение 10 (десяти) рабочих дней с даты получения ПАО «Газпром» обращения ООО «Газпром межрегионгаз» по данному вопросу. </w:t>
      </w:r>
    </w:p>
    <w:p w:rsidR="00A840D6" w:rsidRDefault="00276F6D" w:rsidP="00FD3FAC">
      <w:pPr>
        <w:tabs>
          <w:tab w:val="left" w:pos="1276"/>
        </w:tabs>
        <w:spacing w:line="233" w:lineRule="auto"/>
        <w:ind w:firstLine="709"/>
        <w:jc w:val="both"/>
        <w:rPr>
          <w:sz w:val="28"/>
          <w:szCs w:val="28"/>
        </w:rPr>
      </w:pPr>
      <w:r>
        <w:rPr>
          <w:sz w:val="28"/>
          <w:szCs w:val="28"/>
        </w:rPr>
        <w:t xml:space="preserve">О принятом ПАО «Газпром» решении либо об отсутствии его письменных возражений ООО «Газпром межрегионгаз» в возможно короткий срок письменно уведомляет Общество, в том числе в отношении активов дочерних обществ и подконтрольных Обществу организаций (при этом Общество </w:t>
      </w:r>
      <w:r w:rsidR="00C907E4">
        <w:rPr>
          <w:sz w:val="28"/>
          <w:szCs w:val="28"/>
        </w:rPr>
        <w:br/>
      </w:r>
      <w:r>
        <w:rPr>
          <w:sz w:val="28"/>
          <w:szCs w:val="28"/>
        </w:rPr>
        <w:t>в возможно короткий срок письменно уведомляет о пр</w:t>
      </w:r>
      <w:r w:rsidR="00C907E4">
        <w:rPr>
          <w:sz w:val="28"/>
          <w:szCs w:val="28"/>
        </w:rPr>
        <w:t xml:space="preserve">инятом </w:t>
      </w:r>
      <w:r>
        <w:rPr>
          <w:sz w:val="28"/>
          <w:szCs w:val="28"/>
        </w:rPr>
        <w:t xml:space="preserve">ПАО «Газпром» решении </w:t>
      </w:r>
      <w:r w:rsidR="003C3E00">
        <w:rPr>
          <w:sz w:val="28"/>
          <w:szCs w:val="28"/>
        </w:rPr>
        <w:t xml:space="preserve">либо об отсутствии </w:t>
      </w:r>
      <w:r w:rsidR="00933120">
        <w:rPr>
          <w:sz w:val="28"/>
          <w:szCs w:val="28"/>
        </w:rPr>
        <w:t xml:space="preserve">письменных возражений </w:t>
      </w:r>
      <w:r w:rsidR="003C3E00">
        <w:rPr>
          <w:sz w:val="28"/>
          <w:szCs w:val="28"/>
        </w:rPr>
        <w:t xml:space="preserve">ПАО «Газпром» </w:t>
      </w:r>
      <w:r>
        <w:rPr>
          <w:sz w:val="28"/>
          <w:szCs w:val="28"/>
        </w:rPr>
        <w:t>соо</w:t>
      </w:r>
      <w:r w:rsidR="00933120">
        <w:rPr>
          <w:sz w:val="28"/>
          <w:szCs w:val="28"/>
        </w:rPr>
        <w:t xml:space="preserve">тветствующие дочерние общества </w:t>
      </w:r>
      <w:r>
        <w:rPr>
          <w:sz w:val="28"/>
          <w:szCs w:val="28"/>
        </w:rPr>
        <w:t>и</w:t>
      </w:r>
      <w:r w:rsidR="00384D81">
        <w:rPr>
          <w:sz w:val="28"/>
          <w:szCs w:val="28"/>
        </w:rPr>
        <w:t>ли</w:t>
      </w:r>
      <w:r>
        <w:rPr>
          <w:sz w:val="28"/>
          <w:szCs w:val="28"/>
        </w:rPr>
        <w:t xml:space="preserve"> подконтрольные Обществу организации).</w:t>
      </w:r>
    </w:p>
    <w:p w:rsidR="00A840D6" w:rsidRDefault="00276F6D" w:rsidP="00FD3FAC">
      <w:pPr>
        <w:tabs>
          <w:tab w:val="left" w:pos="1276"/>
        </w:tabs>
        <w:spacing w:line="233" w:lineRule="auto"/>
        <w:ind w:firstLine="709"/>
        <w:jc w:val="both"/>
        <w:rPr>
          <w:sz w:val="28"/>
          <w:szCs w:val="28"/>
        </w:rPr>
      </w:pPr>
      <w:r>
        <w:rPr>
          <w:sz w:val="28"/>
          <w:szCs w:val="28"/>
        </w:rPr>
        <w:t>4.5.</w:t>
      </w:r>
      <w:r>
        <w:rPr>
          <w:sz w:val="28"/>
          <w:szCs w:val="28"/>
        </w:rPr>
        <w:tab/>
        <w:t>В случае если торги/публичное предложение по продаже непрофильного актива были признаны несостоявшимися по причине наличия только одного участника, реализация этого имущества может быть проведена по решению ПАО «Газпром», принятому на основании письменного обращения ООО «Газпром межрегионгаз» о заключении договора купли-продажи непрофильного актива с единственным участником торгов/публичного предложения, путем направления такому участнику оферты с указанием цены, которая не может быть ниже начальной цены или цены отсечения (минимальной цены предложения, по которой может быть продан актив).</w:t>
      </w:r>
    </w:p>
    <w:p w:rsidR="00A840D6" w:rsidRDefault="00276F6D">
      <w:pPr>
        <w:tabs>
          <w:tab w:val="left" w:pos="1276"/>
        </w:tabs>
        <w:ind w:firstLine="709"/>
        <w:jc w:val="both"/>
        <w:rPr>
          <w:sz w:val="28"/>
          <w:szCs w:val="28"/>
        </w:rPr>
      </w:pPr>
      <w:r>
        <w:rPr>
          <w:sz w:val="28"/>
          <w:szCs w:val="28"/>
        </w:rPr>
        <w:lastRenderedPageBreak/>
        <w:t>При этом по активам, балансовая (остаточная) стоимость по данным бухгалтерского учета или рыночная стоимость либо кадастровая стоимость (для земельных участков)</w:t>
      </w:r>
      <w:r>
        <w:rPr>
          <w:vertAlign w:val="superscript"/>
        </w:rPr>
        <w:footnoteReference w:id="4"/>
      </w:r>
      <w:r>
        <w:rPr>
          <w:sz w:val="28"/>
          <w:szCs w:val="28"/>
        </w:rPr>
        <w:t xml:space="preserve">  которых составляет менее 30 (тридцати) миллионов рублей с учетом НДС, сделка Общества, дочернего общества или подконтрольной Обществу организации по продаже актива в пользу единственного участника торгов/публичного предложения считается согласованной ПАО «Газпром» в случае отсутствия письменных возражений ПАО «Газпром», направленных в течение 10 (десяти) рабочих дней с даты получения ПАО «Газпром» обращения ООО «Газпром межрегионгаз» </w:t>
      </w:r>
      <w:r>
        <w:rPr>
          <w:sz w:val="28"/>
          <w:szCs w:val="28"/>
        </w:rPr>
        <w:br/>
        <w:t xml:space="preserve">по данному вопросу. </w:t>
      </w:r>
    </w:p>
    <w:p w:rsidR="00A840D6" w:rsidRDefault="00276F6D">
      <w:pPr>
        <w:tabs>
          <w:tab w:val="left" w:pos="1276"/>
        </w:tabs>
        <w:ind w:firstLine="709"/>
        <w:jc w:val="both"/>
        <w:rPr>
          <w:sz w:val="28"/>
          <w:szCs w:val="28"/>
        </w:rPr>
      </w:pPr>
      <w:r>
        <w:rPr>
          <w:sz w:val="28"/>
          <w:szCs w:val="28"/>
        </w:rPr>
        <w:t>О принятом ПАО «Газпром» решении либо об отсутствии его письменных возражений ООО «Газпром межрегионгаз» в возможно короткий срок письменно уведомляет Общество, в том числе в отношении активов дочерних обществ и</w:t>
      </w:r>
      <w:r w:rsidR="00384D81">
        <w:rPr>
          <w:sz w:val="28"/>
          <w:szCs w:val="28"/>
        </w:rPr>
        <w:t>ли</w:t>
      </w:r>
      <w:r>
        <w:rPr>
          <w:sz w:val="28"/>
          <w:szCs w:val="28"/>
        </w:rPr>
        <w:t xml:space="preserve"> подконтрольных Обществу организаций (при этом Общество </w:t>
      </w:r>
      <w:r w:rsidR="00FD3FAC">
        <w:rPr>
          <w:sz w:val="28"/>
          <w:szCs w:val="28"/>
        </w:rPr>
        <w:br/>
      </w:r>
      <w:r>
        <w:rPr>
          <w:sz w:val="28"/>
          <w:szCs w:val="28"/>
        </w:rPr>
        <w:t>в возможно короткий срок письменно уведомляет о приня</w:t>
      </w:r>
      <w:r w:rsidR="00FD3FAC">
        <w:rPr>
          <w:sz w:val="28"/>
          <w:szCs w:val="28"/>
        </w:rPr>
        <w:t xml:space="preserve">том </w:t>
      </w:r>
      <w:r>
        <w:rPr>
          <w:sz w:val="28"/>
          <w:szCs w:val="28"/>
        </w:rPr>
        <w:t xml:space="preserve">ПАО «Газпром» решении </w:t>
      </w:r>
      <w:r w:rsidR="003C3E00">
        <w:rPr>
          <w:sz w:val="28"/>
          <w:szCs w:val="28"/>
        </w:rPr>
        <w:t>либо об отсутствии</w:t>
      </w:r>
      <w:r w:rsidR="00384D81">
        <w:rPr>
          <w:sz w:val="28"/>
          <w:szCs w:val="28"/>
        </w:rPr>
        <w:t xml:space="preserve"> письменных возражений</w:t>
      </w:r>
      <w:r w:rsidR="003C3E00">
        <w:rPr>
          <w:sz w:val="28"/>
          <w:szCs w:val="28"/>
        </w:rPr>
        <w:t xml:space="preserve"> ПАО «Газпром»</w:t>
      </w:r>
      <w:r w:rsidR="00384D81">
        <w:rPr>
          <w:sz w:val="28"/>
          <w:szCs w:val="28"/>
        </w:rPr>
        <w:t xml:space="preserve"> </w:t>
      </w:r>
      <w:r>
        <w:rPr>
          <w:sz w:val="28"/>
          <w:szCs w:val="28"/>
        </w:rPr>
        <w:t>соо</w:t>
      </w:r>
      <w:r w:rsidR="00384D81">
        <w:rPr>
          <w:sz w:val="28"/>
          <w:szCs w:val="28"/>
        </w:rPr>
        <w:t xml:space="preserve">тветствующие дочерние общества </w:t>
      </w:r>
      <w:r>
        <w:rPr>
          <w:sz w:val="28"/>
          <w:szCs w:val="28"/>
        </w:rPr>
        <w:t>и</w:t>
      </w:r>
      <w:r w:rsidR="00384D81">
        <w:rPr>
          <w:sz w:val="28"/>
          <w:szCs w:val="28"/>
        </w:rPr>
        <w:t>ли</w:t>
      </w:r>
      <w:r>
        <w:rPr>
          <w:sz w:val="28"/>
          <w:szCs w:val="28"/>
        </w:rPr>
        <w:t xml:space="preserve"> подконтрольные Обществу организации).</w:t>
      </w:r>
    </w:p>
    <w:p w:rsidR="00A840D6" w:rsidRDefault="00276F6D">
      <w:pPr>
        <w:tabs>
          <w:tab w:val="left" w:pos="1276"/>
        </w:tabs>
        <w:ind w:firstLine="709"/>
        <w:jc w:val="both"/>
        <w:rPr>
          <w:sz w:val="28"/>
          <w:szCs w:val="28"/>
        </w:rPr>
      </w:pPr>
      <w:r>
        <w:rPr>
          <w:sz w:val="28"/>
          <w:szCs w:val="28"/>
        </w:rPr>
        <w:t>4.6.</w:t>
      </w:r>
      <w:r>
        <w:rPr>
          <w:sz w:val="28"/>
          <w:szCs w:val="28"/>
        </w:rPr>
        <w:tab/>
        <w:t>В случае если торги/публичное предложение по продаже непрофильного актива, в том числе с пошаговым снижением цены реализации до 50% от начальной цены реализации,</w:t>
      </w:r>
      <w:r w:rsidR="00FD3FAC">
        <w:rPr>
          <w:sz w:val="28"/>
          <w:szCs w:val="28"/>
        </w:rPr>
        <w:t xml:space="preserve"> были признаны несостоявшимися </w:t>
      </w:r>
      <w:r>
        <w:rPr>
          <w:sz w:val="28"/>
          <w:szCs w:val="28"/>
        </w:rPr>
        <w:t>по причине отсутствия заявок, решение об отчуждении указанного непрофильного актива на других условиях (по более низкой цене, проведение мероприятий по повышению инвестиционной привлекательности, безвозмездной передаче и др.) принимается ПАО «Газпром» на основании письменного обращения ООО «Газпром межрегионгаз» о согласовании условий его дальнейшего отчуждения, направленного с приложением обосновывающих документов.</w:t>
      </w:r>
    </w:p>
    <w:p w:rsidR="00A840D6" w:rsidRDefault="00276F6D">
      <w:pPr>
        <w:tabs>
          <w:tab w:val="left" w:pos="1276"/>
        </w:tabs>
        <w:ind w:firstLine="709"/>
        <w:jc w:val="both"/>
        <w:rPr>
          <w:sz w:val="28"/>
          <w:szCs w:val="28"/>
        </w:rPr>
      </w:pPr>
      <w:r>
        <w:rPr>
          <w:sz w:val="28"/>
          <w:szCs w:val="28"/>
        </w:rPr>
        <w:t>При этом по активам, балансовая (остаточная) стоимость по данным бухгалтерского учета или рыночная стоимость либо кадастровая стоимость (для земельных участков)</w:t>
      </w:r>
      <w:r>
        <w:rPr>
          <w:sz w:val="28"/>
          <w:szCs w:val="28"/>
          <w:vertAlign w:val="superscript"/>
        </w:rPr>
        <w:footnoteReference w:id="5"/>
      </w:r>
      <w:r>
        <w:rPr>
          <w:sz w:val="28"/>
          <w:szCs w:val="28"/>
        </w:rPr>
        <w:t xml:space="preserve"> которых составляет менее 30 (тридцати) миллионов рублей с учетом НДС, предложение ООО «Газпром межрегионгаз» считается  согласованным ПАО «Газпром» в случае отсутствия письменных возражений ПАО «Газпром», направленных в течение 10 (десяти) рабочих дней с даты получения ПАО «Газпром» обращения ООО «Газпром межрегионгаз» </w:t>
      </w:r>
      <w:r>
        <w:rPr>
          <w:sz w:val="28"/>
          <w:szCs w:val="28"/>
        </w:rPr>
        <w:br/>
        <w:t xml:space="preserve">по данному вопросу. </w:t>
      </w:r>
    </w:p>
    <w:p w:rsidR="00A840D6" w:rsidRDefault="00276F6D">
      <w:pPr>
        <w:tabs>
          <w:tab w:val="left" w:pos="1276"/>
        </w:tabs>
        <w:ind w:firstLine="709"/>
        <w:jc w:val="both"/>
        <w:rPr>
          <w:sz w:val="28"/>
          <w:szCs w:val="28"/>
        </w:rPr>
      </w:pPr>
      <w:r>
        <w:rPr>
          <w:sz w:val="28"/>
          <w:szCs w:val="28"/>
        </w:rPr>
        <w:lastRenderedPageBreak/>
        <w:t>О принятом ПАО «Газпром» решении либо об отсутствии его письменных возражений ООО «Газпром межрегионгаз» в возможно короткий срок письменно уведомляет Общество, в том числе в отношении активов дочерних обществ и</w:t>
      </w:r>
      <w:r w:rsidR="00651425">
        <w:rPr>
          <w:sz w:val="28"/>
          <w:szCs w:val="28"/>
        </w:rPr>
        <w:t>ли</w:t>
      </w:r>
      <w:r>
        <w:rPr>
          <w:sz w:val="28"/>
          <w:szCs w:val="28"/>
        </w:rPr>
        <w:t xml:space="preserve"> подконтрольных Обществу организаций (при этом Общество </w:t>
      </w:r>
      <w:r>
        <w:rPr>
          <w:sz w:val="28"/>
          <w:szCs w:val="28"/>
        </w:rPr>
        <w:br/>
        <w:t>в возможно короткий срок письменно уведомляет о принятом</w:t>
      </w:r>
      <w:r>
        <w:rPr>
          <w:sz w:val="28"/>
          <w:szCs w:val="28"/>
        </w:rPr>
        <w:br/>
        <w:t xml:space="preserve">ПАО «Газпром» решении </w:t>
      </w:r>
      <w:r w:rsidR="003C3E00">
        <w:rPr>
          <w:sz w:val="28"/>
          <w:szCs w:val="28"/>
        </w:rPr>
        <w:t>либо об отсутствии</w:t>
      </w:r>
      <w:r w:rsidR="00651425">
        <w:rPr>
          <w:sz w:val="28"/>
          <w:szCs w:val="28"/>
        </w:rPr>
        <w:t xml:space="preserve"> письменных возражений</w:t>
      </w:r>
      <w:r w:rsidR="003C3E00">
        <w:rPr>
          <w:sz w:val="28"/>
          <w:szCs w:val="28"/>
        </w:rPr>
        <w:t xml:space="preserve"> </w:t>
      </w:r>
      <w:r w:rsidR="00C907E4">
        <w:rPr>
          <w:sz w:val="28"/>
          <w:szCs w:val="28"/>
        </w:rPr>
        <w:br/>
      </w:r>
      <w:r w:rsidR="003C3E00">
        <w:rPr>
          <w:sz w:val="28"/>
          <w:szCs w:val="28"/>
        </w:rPr>
        <w:t xml:space="preserve">ПАО «Газпром» </w:t>
      </w:r>
      <w:r>
        <w:rPr>
          <w:sz w:val="28"/>
          <w:szCs w:val="28"/>
        </w:rPr>
        <w:t>соо</w:t>
      </w:r>
      <w:r w:rsidR="00651425">
        <w:rPr>
          <w:sz w:val="28"/>
          <w:szCs w:val="28"/>
        </w:rPr>
        <w:t xml:space="preserve">тветствующие дочерние общества </w:t>
      </w:r>
      <w:r>
        <w:rPr>
          <w:sz w:val="28"/>
          <w:szCs w:val="28"/>
        </w:rPr>
        <w:t>и</w:t>
      </w:r>
      <w:r w:rsidR="00651425">
        <w:rPr>
          <w:sz w:val="28"/>
          <w:szCs w:val="28"/>
        </w:rPr>
        <w:t>ли</w:t>
      </w:r>
      <w:r>
        <w:rPr>
          <w:sz w:val="28"/>
          <w:szCs w:val="28"/>
        </w:rPr>
        <w:t xml:space="preserve"> подконтрольные Обществу организации).</w:t>
      </w:r>
    </w:p>
    <w:p w:rsidR="00A840D6" w:rsidRDefault="00276F6D">
      <w:pPr>
        <w:tabs>
          <w:tab w:val="left" w:pos="1276"/>
        </w:tabs>
        <w:ind w:firstLine="709"/>
        <w:jc w:val="both"/>
        <w:rPr>
          <w:sz w:val="28"/>
          <w:szCs w:val="28"/>
        </w:rPr>
      </w:pPr>
      <w:r>
        <w:rPr>
          <w:sz w:val="28"/>
          <w:szCs w:val="28"/>
        </w:rPr>
        <w:t>4.7. Решение об отчуждении непрофильного актива путем прямой продажи или безвозмездной передачи в собственность Российской Федерации, субъекта Российской Федерации или муниципальную собственность принимается ПАО «Газпром» на основании письменного обращения ООО «Газпром межрегионгаз» о согласовании такого способа отчуждения, направленного с приложением обосновывающих документов.</w:t>
      </w:r>
    </w:p>
    <w:p w:rsidR="00A840D6" w:rsidRDefault="00276F6D">
      <w:pPr>
        <w:tabs>
          <w:tab w:val="left" w:pos="1276"/>
        </w:tabs>
        <w:ind w:firstLine="709"/>
        <w:jc w:val="both"/>
        <w:rPr>
          <w:sz w:val="28"/>
          <w:szCs w:val="28"/>
        </w:rPr>
      </w:pPr>
      <w:r>
        <w:rPr>
          <w:sz w:val="28"/>
          <w:szCs w:val="28"/>
        </w:rPr>
        <w:t>При этом по активам, балансовая (остаточная) стоимость по данным бухгалтерского учета или рыночная стоимость либо кадастровая стоимость (для земельных участков)</w:t>
      </w:r>
      <w:r>
        <w:rPr>
          <w:sz w:val="28"/>
          <w:szCs w:val="28"/>
          <w:vertAlign w:val="superscript"/>
        </w:rPr>
        <w:footnoteReference w:id="6"/>
      </w:r>
      <w:r>
        <w:rPr>
          <w:sz w:val="28"/>
          <w:szCs w:val="28"/>
        </w:rPr>
        <w:t xml:space="preserve"> которых составляет менее 30 (тридцати) миллионов рублей с учетом НДС, предложение ООО «Газпром межрегионгаз» считается согласованным  ПАО «Газпром» в случае отсутствия письменных возражений ПАО «Газпром», направленных в течение 10 (десяти) рабочих дней с даты получения ПАО «Газпром» обращения ООО «Газпром межрегионгаз» </w:t>
      </w:r>
      <w:r>
        <w:rPr>
          <w:sz w:val="28"/>
          <w:szCs w:val="28"/>
        </w:rPr>
        <w:br/>
        <w:t xml:space="preserve">по данному вопросу. </w:t>
      </w:r>
    </w:p>
    <w:p w:rsidR="00A840D6" w:rsidRDefault="00276F6D">
      <w:pPr>
        <w:tabs>
          <w:tab w:val="left" w:pos="1276"/>
        </w:tabs>
        <w:ind w:firstLine="709"/>
        <w:jc w:val="both"/>
        <w:rPr>
          <w:sz w:val="28"/>
          <w:szCs w:val="28"/>
        </w:rPr>
      </w:pPr>
      <w:r>
        <w:rPr>
          <w:sz w:val="28"/>
          <w:szCs w:val="28"/>
        </w:rPr>
        <w:t xml:space="preserve">О принятом ПАО «Газпром» решении либо об отсутствии </w:t>
      </w:r>
      <w:r>
        <w:rPr>
          <w:sz w:val="28"/>
          <w:szCs w:val="28"/>
        </w:rPr>
        <w:br/>
        <w:t>его письменных возражений ООО «Газпром межрегионгаз» в возможно короткий срок письменно уведомляет Общество, в том числе в отношении активов дочерних обществ и</w:t>
      </w:r>
      <w:r w:rsidR="003C3E00">
        <w:rPr>
          <w:sz w:val="28"/>
          <w:szCs w:val="28"/>
        </w:rPr>
        <w:t>ли</w:t>
      </w:r>
      <w:r>
        <w:rPr>
          <w:sz w:val="28"/>
          <w:szCs w:val="28"/>
        </w:rPr>
        <w:t xml:space="preserve"> подконтрольных Обществу организаций (при этом Общество в возможно короткий срок письменно уведомляет о принятом </w:t>
      </w:r>
      <w:r>
        <w:rPr>
          <w:sz w:val="28"/>
          <w:szCs w:val="28"/>
        </w:rPr>
        <w:br/>
        <w:t xml:space="preserve">ПАО «Газпром» решении или об отсутствии письменных возражений </w:t>
      </w:r>
      <w:r>
        <w:rPr>
          <w:sz w:val="28"/>
          <w:szCs w:val="28"/>
        </w:rPr>
        <w:br/>
        <w:t>ПАО «Газпром» соответствующие дочерние общества и</w:t>
      </w:r>
      <w:r w:rsidR="003C3E00">
        <w:rPr>
          <w:sz w:val="28"/>
          <w:szCs w:val="28"/>
        </w:rPr>
        <w:t>ли</w:t>
      </w:r>
      <w:r>
        <w:rPr>
          <w:sz w:val="28"/>
          <w:szCs w:val="28"/>
        </w:rPr>
        <w:t xml:space="preserve"> подконтрольные Обществу организации).</w:t>
      </w:r>
    </w:p>
    <w:p w:rsidR="00A840D6" w:rsidRDefault="00276F6D">
      <w:pPr>
        <w:tabs>
          <w:tab w:val="left" w:pos="1276"/>
        </w:tabs>
        <w:ind w:firstLine="709"/>
        <w:jc w:val="both"/>
        <w:rPr>
          <w:sz w:val="28"/>
          <w:szCs w:val="28"/>
        </w:rPr>
      </w:pPr>
      <w:r>
        <w:rPr>
          <w:sz w:val="28"/>
          <w:szCs w:val="28"/>
        </w:rPr>
        <w:t>4.8.</w:t>
      </w:r>
      <w:r>
        <w:rPr>
          <w:sz w:val="28"/>
          <w:szCs w:val="28"/>
        </w:rPr>
        <w:tab/>
        <w:t xml:space="preserve">В решениях Комиссии Общества, Комиссии дочернего общества </w:t>
      </w:r>
      <w:r>
        <w:rPr>
          <w:sz w:val="28"/>
          <w:szCs w:val="28"/>
        </w:rPr>
        <w:br/>
        <w:t>или Комиссии подконтрольной Обществу организации о возмездном отчуждении (реализации) непрофильного актива должны быть указаны:</w:t>
      </w:r>
    </w:p>
    <w:p w:rsidR="00A840D6" w:rsidRDefault="00276F6D">
      <w:pPr>
        <w:tabs>
          <w:tab w:val="left" w:pos="1276"/>
        </w:tabs>
        <w:ind w:firstLine="709"/>
        <w:jc w:val="both"/>
        <w:rPr>
          <w:sz w:val="28"/>
          <w:szCs w:val="28"/>
        </w:rPr>
      </w:pPr>
      <w:r>
        <w:rPr>
          <w:sz w:val="28"/>
          <w:szCs w:val="28"/>
        </w:rPr>
        <w:t>наименование непрофильного актива и иные идентификационные данные (в том числе адрес объекта имущества, инвентарный номер и т.д.);</w:t>
      </w:r>
    </w:p>
    <w:p w:rsidR="00A840D6" w:rsidRDefault="00276F6D">
      <w:pPr>
        <w:tabs>
          <w:tab w:val="left" w:pos="1276"/>
        </w:tabs>
        <w:ind w:firstLine="709"/>
        <w:jc w:val="both"/>
        <w:rPr>
          <w:sz w:val="28"/>
          <w:szCs w:val="28"/>
        </w:rPr>
      </w:pPr>
      <w:r>
        <w:rPr>
          <w:sz w:val="28"/>
          <w:szCs w:val="28"/>
        </w:rPr>
        <w:t>способ отчуждения;</w:t>
      </w:r>
    </w:p>
    <w:p w:rsidR="00A840D6" w:rsidRDefault="00276F6D">
      <w:pPr>
        <w:tabs>
          <w:tab w:val="left" w:pos="1276"/>
        </w:tabs>
        <w:ind w:firstLine="709"/>
        <w:jc w:val="both"/>
        <w:rPr>
          <w:sz w:val="28"/>
          <w:szCs w:val="28"/>
        </w:rPr>
      </w:pPr>
      <w:r>
        <w:rPr>
          <w:sz w:val="28"/>
          <w:szCs w:val="28"/>
        </w:rPr>
        <w:t>цена отчуждаемого непрофильного актива или способ ее определения;</w:t>
      </w:r>
    </w:p>
    <w:p w:rsidR="00A840D6" w:rsidRDefault="00276F6D">
      <w:pPr>
        <w:tabs>
          <w:tab w:val="left" w:pos="1276"/>
        </w:tabs>
        <w:ind w:firstLine="709"/>
        <w:jc w:val="both"/>
        <w:rPr>
          <w:sz w:val="28"/>
          <w:szCs w:val="28"/>
        </w:rPr>
      </w:pPr>
      <w:r>
        <w:rPr>
          <w:sz w:val="28"/>
          <w:szCs w:val="28"/>
        </w:rPr>
        <w:t>условие о рассрочке (отсрочке) платежа (в случае ее предоставления);</w:t>
      </w:r>
    </w:p>
    <w:p w:rsidR="00A840D6" w:rsidRDefault="00276F6D">
      <w:pPr>
        <w:tabs>
          <w:tab w:val="left" w:pos="1276"/>
        </w:tabs>
        <w:ind w:firstLine="709"/>
        <w:jc w:val="both"/>
        <w:rPr>
          <w:sz w:val="28"/>
          <w:szCs w:val="28"/>
        </w:rPr>
      </w:pPr>
      <w:r>
        <w:rPr>
          <w:sz w:val="28"/>
          <w:szCs w:val="28"/>
        </w:rPr>
        <w:t>иные необходимые для отчуждения непрофильного актива сведения.</w:t>
      </w:r>
    </w:p>
    <w:p w:rsidR="00A840D6" w:rsidRDefault="00276F6D" w:rsidP="009775A2">
      <w:pPr>
        <w:pStyle w:val="13"/>
        <w:spacing w:line="238" w:lineRule="auto"/>
        <w:ind w:firstLine="720"/>
        <w:jc w:val="both"/>
        <w:rPr>
          <w:sz w:val="28"/>
          <w:szCs w:val="28"/>
        </w:rPr>
      </w:pPr>
      <w:r>
        <w:rPr>
          <w:sz w:val="28"/>
          <w:szCs w:val="28"/>
        </w:rPr>
        <w:t xml:space="preserve">4.9. При возмездном отчуждении (реализации) непрофильных активов </w:t>
      </w:r>
      <w:r>
        <w:rPr>
          <w:spacing w:val="-4"/>
          <w:sz w:val="28"/>
          <w:szCs w:val="28"/>
        </w:rPr>
        <w:lastRenderedPageBreak/>
        <w:t>Обществом, дочерними обществами или подконтрольными Обществу организациями обеспечивается проведение максимально широкого информационного</w:t>
      </w:r>
      <w:r>
        <w:rPr>
          <w:sz w:val="28"/>
          <w:szCs w:val="28"/>
        </w:rPr>
        <w:t xml:space="preserve"> оповещения потенциальных покупателей, в том числе посредством публикаций в центральных или региональных, а также специализированных средствах массовой информации, размещения в сети Интернет, адресных рассылок в форме предложений потенциальным покупателям.</w:t>
      </w:r>
    </w:p>
    <w:p w:rsidR="00A840D6" w:rsidRDefault="00276F6D" w:rsidP="009775A2">
      <w:pPr>
        <w:pStyle w:val="13"/>
        <w:spacing w:line="238" w:lineRule="auto"/>
        <w:ind w:firstLine="720"/>
        <w:jc w:val="both"/>
        <w:rPr>
          <w:sz w:val="28"/>
          <w:szCs w:val="28"/>
        </w:rPr>
      </w:pPr>
      <w:r>
        <w:rPr>
          <w:sz w:val="28"/>
          <w:szCs w:val="28"/>
        </w:rPr>
        <w:t xml:space="preserve">Информационные сообщения об анонсировании торгов и проведении </w:t>
      </w:r>
      <w:r>
        <w:rPr>
          <w:spacing w:val="-6"/>
          <w:sz w:val="28"/>
          <w:szCs w:val="28"/>
        </w:rPr>
        <w:t>торгов по продаже непрофильных активов размещаются на специализированном</w:t>
      </w:r>
      <w:r>
        <w:rPr>
          <w:sz w:val="28"/>
          <w:szCs w:val="28"/>
        </w:rPr>
        <w:t xml:space="preserve"> сайте по реализации непрофильных активов Группы Газпром в сети Интернет </w:t>
      </w:r>
      <w:r>
        <w:rPr>
          <w:sz w:val="28"/>
          <w:szCs w:val="28"/>
        </w:rPr>
        <w:br/>
        <w:t>в отношении:</w:t>
      </w:r>
    </w:p>
    <w:p w:rsidR="00A840D6" w:rsidRDefault="00276F6D" w:rsidP="009775A2">
      <w:pPr>
        <w:pStyle w:val="13"/>
        <w:spacing w:line="238" w:lineRule="auto"/>
        <w:ind w:firstLine="720"/>
        <w:jc w:val="both"/>
        <w:rPr>
          <w:sz w:val="28"/>
          <w:szCs w:val="28"/>
        </w:rPr>
      </w:pPr>
      <w:r>
        <w:rPr>
          <w:sz w:val="28"/>
          <w:szCs w:val="28"/>
        </w:rPr>
        <w:t>активов Общества, дочерних обществ и</w:t>
      </w:r>
      <w:r w:rsidR="00171D18">
        <w:rPr>
          <w:sz w:val="28"/>
          <w:szCs w:val="28"/>
        </w:rPr>
        <w:t>ли</w:t>
      </w:r>
      <w:r>
        <w:rPr>
          <w:sz w:val="28"/>
          <w:szCs w:val="28"/>
        </w:rPr>
        <w:t xml:space="preserve"> подконтрольных Обществу организаций в форме акций, долей и паев;</w:t>
      </w:r>
    </w:p>
    <w:p w:rsidR="00A840D6" w:rsidRDefault="00276F6D" w:rsidP="009775A2">
      <w:pPr>
        <w:pStyle w:val="13"/>
        <w:spacing w:line="238" w:lineRule="auto"/>
        <w:ind w:firstLine="720"/>
        <w:jc w:val="both"/>
        <w:rPr>
          <w:sz w:val="28"/>
          <w:szCs w:val="28"/>
        </w:rPr>
      </w:pPr>
      <w:r>
        <w:rPr>
          <w:sz w:val="28"/>
          <w:szCs w:val="28"/>
        </w:rPr>
        <w:t xml:space="preserve">недвижимого имущества и иных активов Общества, дочерних обществ </w:t>
      </w:r>
      <w:r>
        <w:rPr>
          <w:sz w:val="28"/>
          <w:szCs w:val="28"/>
        </w:rPr>
        <w:br/>
        <w:t>и</w:t>
      </w:r>
      <w:r w:rsidR="00171D18">
        <w:rPr>
          <w:sz w:val="28"/>
          <w:szCs w:val="28"/>
        </w:rPr>
        <w:t>ли</w:t>
      </w:r>
      <w:r>
        <w:rPr>
          <w:sz w:val="28"/>
          <w:szCs w:val="28"/>
        </w:rPr>
        <w:t xml:space="preserve"> подконтрольных Обществу организаций, балансовая (остаточная) стоимость по данным бухгалтерского учета или рыночная стоимость</w:t>
      </w:r>
      <w:r>
        <w:rPr>
          <w:sz w:val="28"/>
          <w:szCs w:val="28"/>
          <w:vertAlign w:val="superscript"/>
        </w:rPr>
        <w:footnoteReference w:id="7"/>
      </w:r>
      <w:r>
        <w:rPr>
          <w:sz w:val="28"/>
          <w:szCs w:val="28"/>
        </w:rPr>
        <w:t xml:space="preserve"> которых составляет 30 (тридцать) и более миллионов рублей с учетом НДС, по решению Департамента по предложению организаций Группы Газпром.</w:t>
      </w:r>
    </w:p>
    <w:p w:rsidR="00A840D6" w:rsidRDefault="00276F6D" w:rsidP="009775A2">
      <w:pPr>
        <w:tabs>
          <w:tab w:val="left" w:pos="1276"/>
        </w:tabs>
        <w:spacing w:line="238" w:lineRule="auto"/>
        <w:ind w:firstLine="709"/>
        <w:jc w:val="both"/>
        <w:rPr>
          <w:sz w:val="28"/>
          <w:szCs w:val="28"/>
        </w:rPr>
      </w:pPr>
      <w:r>
        <w:rPr>
          <w:sz w:val="28"/>
          <w:szCs w:val="28"/>
        </w:rPr>
        <w:t xml:space="preserve">В отношении иных непрофильных активов Общества, дочерних обществ </w:t>
      </w:r>
      <w:r>
        <w:rPr>
          <w:sz w:val="28"/>
          <w:szCs w:val="28"/>
        </w:rPr>
        <w:br/>
        <w:t>и</w:t>
      </w:r>
      <w:r w:rsidR="00171D18">
        <w:rPr>
          <w:sz w:val="28"/>
          <w:szCs w:val="28"/>
        </w:rPr>
        <w:t>ли</w:t>
      </w:r>
      <w:r>
        <w:rPr>
          <w:sz w:val="28"/>
          <w:szCs w:val="28"/>
        </w:rPr>
        <w:t xml:space="preserve"> подконтрольных Обществу организаций </w:t>
      </w:r>
      <w:r>
        <w:rPr>
          <w:spacing w:val="-6"/>
          <w:sz w:val="28"/>
          <w:szCs w:val="28"/>
        </w:rPr>
        <w:t xml:space="preserve">размещение </w:t>
      </w:r>
      <w:r>
        <w:rPr>
          <w:sz w:val="28"/>
          <w:szCs w:val="28"/>
        </w:rPr>
        <w:t xml:space="preserve">информационных сообщений об анонсировании торгов и проведении торгов по продаже непрофильных активов осуществляется с учетом установленных на дату проведения торгов требований, определяемых ПАО «Газпром» </w:t>
      </w:r>
      <w:r>
        <w:rPr>
          <w:sz w:val="28"/>
          <w:szCs w:val="28"/>
        </w:rPr>
        <w:br/>
        <w:t xml:space="preserve">и ООО «Газпром межрегионгаз». </w:t>
      </w:r>
    </w:p>
    <w:p w:rsidR="00A840D6" w:rsidRDefault="00276F6D" w:rsidP="009775A2">
      <w:pPr>
        <w:tabs>
          <w:tab w:val="left" w:pos="1276"/>
        </w:tabs>
        <w:spacing w:line="238" w:lineRule="auto"/>
        <w:ind w:firstLine="709"/>
        <w:jc w:val="both"/>
        <w:rPr>
          <w:sz w:val="28"/>
          <w:szCs w:val="28"/>
        </w:rPr>
      </w:pPr>
      <w:r>
        <w:rPr>
          <w:sz w:val="28"/>
          <w:szCs w:val="28"/>
        </w:rPr>
        <w:t>Для организации и проведения торгов привлекается ООО</w:t>
      </w:r>
      <w:r>
        <w:rPr>
          <w:sz w:val="28"/>
          <w:szCs w:val="28"/>
          <w:lang w:val="en-US"/>
        </w:rPr>
        <w:t> </w:t>
      </w:r>
      <w:r>
        <w:rPr>
          <w:sz w:val="28"/>
          <w:szCs w:val="28"/>
        </w:rPr>
        <w:t xml:space="preserve">«ЭТП ГПБ», определенное в качестве основного исполнителя услуг по организации и проведению торгов и иных конкурентных способов по продаже непрофильных активов Группы Газпром. </w:t>
      </w:r>
    </w:p>
    <w:p w:rsidR="00A840D6" w:rsidRDefault="00276F6D" w:rsidP="009775A2">
      <w:pPr>
        <w:spacing w:line="238" w:lineRule="auto"/>
        <w:ind w:firstLine="709"/>
        <w:jc w:val="both"/>
        <w:rPr>
          <w:sz w:val="28"/>
        </w:rPr>
      </w:pPr>
      <w:r>
        <w:rPr>
          <w:sz w:val="28"/>
        </w:rPr>
        <w:t xml:space="preserve">По согласованию с Департаментом торги могут проводиться Обществом, дочерними обществами, подконтрольными Обществу организациями </w:t>
      </w:r>
      <w:r>
        <w:rPr>
          <w:sz w:val="28"/>
        </w:rPr>
        <w:br/>
        <w:t xml:space="preserve">без привлечения специализированных организаций. </w:t>
      </w:r>
    </w:p>
    <w:p w:rsidR="00A840D6" w:rsidRDefault="00276F6D" w:rsidP="009775A2">
      <w:pPr>
        <w:spacing w:line="238" w:lineRule="auto"/>
        <w:ind w:firstLine="709"/>
        <w:jc w:val="both"/>
        <w:rPr>
          <w:sz w:val="28"/>
        </w:rPr>
      </w:pPr>
      <w:r>
        <w:rPr>
          <w:sz w:val="28"/>
        </w:rPr>
        <w:t>Указанное согласование в отношении непрофильных активов Общества, дочерних обществ и</w:t>
      </w:r>
      <w:r w:rsidR="00171D18">
        <w:rPr>
          <w:sz w:val="28"/>
        </w:rPr>
        <w:t>ли</w:t>
      </w:r>
      <w:r>
        <w:rPr>
          <w:sz w:val="28"/>
        </w:rPr>
        <w:t xml:space="preserve"> подконтрольных Обществу организаций осуществляется </w:t>
      </w:r>
      <w:r>
        <w:rPr>
          <w:sz w:val="28"/>
        </w:rPr>
        <w:br/>
        <w:t xml:space="preserve">по решению Департамента или на основании письменного обращения </w:t>
      </w:r>
      <w:r>
        <w:rPr>
          <w:sz w:val="28"/>
        </w:rPr>
        <w:br/>
        <w:t>ООО «Газпром межрегионгаз».</w:t>
      </w:r>
    </w:p>
    <w:p w:rsidR="00A840D6" w:rsidRDefault="00276F6D" w:rsidP="009775A2">
      <w:pPr>
        <w:tabs>
          <w:tab w:val="left" w:pos="1276"/>
          <w:tab w:val="left" w:pos="1418"/>
        </w:tabs>
        <w:spacing w:line="238" w:lineRule="auto"/>
        <w:ind w:firstLine="709"/>
        <w:jc w:val="both"/>
        <w:rPr>
          <w:spacing w:val="-6"/>
          <w:sz w:val="28"/>
          <w:szCs w:val="28"/>
        </w:rPr>
      </w:pPr>
      <w:r>
        <w:rPr>
          <w:spacing w:val="-6"/>
          <w:sz w:val="28"/>
          <w:szCs w:val="28"/>
        </w:rPr>
        <w:t>4.10.</w:t>
      </w:r>
      <w:r>
        <w:rPr>
          <w:spacing w:val="-6"/>
          <w:sz w:val="28"/>
          <w:szCs w:val="28"/>
        </w:rPr>
        <w:tab/>
        <w:t xml:space="preserve"> </w:t>
      </w:r>
      <w:r>
        <w:rPr>
          <w:sz w:val="28"/>
          <w:szCs w:val="28"/>
        </w:rPr>
        <w:t>В решениях Комиссии Общества, Комиссии дочернего общества и Комиссии подконтрольной Обществу организации о безвозмездной передаче непрофильного актива должны быть указаны наименование непрофильного актива, иные идентификационные данные, необходимые для отчуждения непрофильного актива сведения, а также лицо, в пользу которого передается непрофильный актив.</w:t>
      </w:r>
    </w:p>
    <w:p w:rsidR="00A840D6" w:rsidRDefault="00276F6D" w:rsidP="009775A2">
      <w:pPr>
        <w:pStyle w:val="15"/>
        <w:keepNext/>
        <w:keepLines/>
        <w:numPr>
          <w:ilvl w:val="0"/>
          <w:numId w:val="24"/>
        </w:numPr>
        <w:tabs>
          <w:tab w:val="left" w:pos="332"/>
          <w:tab w:val="left" w:pos="1134"/>
        </w:tabs>
        <w:spacing w:before="240" w:line="238" w:lineRule="auto"/>
        <w:jc w:val="both"/>
        <w:rPr>
          <w:sz w:val="28"/>
          <w:szCs w:val="28"/>
        </w:rPr>
      </w:pPr>
      <w:bookmarkStart w:id="11" w:name="_Toc101786665"/>
      <w:bookmarkStart w:id="12" w:name="_Toc101786674"/>
      <w:bookmarkStart w:id="13" w:name="_Toc110254271"/>
      <w:bookmarkEnd w:id="11"/>
      <w:bookmarkEnd w:id="12"/>
      <w:r>
        <w:rPr>
          <w:sz w:val="28"/>
          <w:szCs w:val="28"/>
        </w:rPr>
        <w:lastRenderedPageBreak/>
        <w:t>Отчет о ходе отчуждения непрофильных активов</w:t>
      </w:r>
      <w:bookmarkEnd w:id="13"/>
    </w:p>
    <w:p w:rsidR="00A840D6" w:rsidRDefault="00276F6D" w:rsidP="009775A2">
      <w:pPr>
        <w:tabs>
          <w:tab w:val="left" w:pos="1276"/>
          <w:tab w:val="left" w:pos="1701"/>
        </w:tabs>
        <w:spacing w:line="238" w:lineRule="auto"/>
        <w:ind w:firstLine="709"/>
        <w:jc w:val="both"/>
        <w:rPr>
          <w:sz w:val="28"/>
          <w:szCs w:val="28"/>
        </w:rPr>
      </w:pPr>
      <w:r>
        <w:rPr>
          <w:sz w:val="28"/>
          <w:szCs w:val="28"/>
        </w:rPr>
        <w:t>5.1. Руководитель Общества обес</w:t>
      </w:r>
      <w:r w:rsidR="00C907E4">
        <w:rPr>
          <w:sz w:val="28"/>
          <w:szCs w:val="28"/>
        </w:rPr>
        <w:t xml:space="preserve">печивает предоставление в адрес </w:t>
      </w:r>
      <w:r>
        <w:rPr>
          <w:sz w:val="28"/>
          <w:szCs w:val="28"/>
        </w:rPr>
        <w:t>ООО «Газпром межрегионгаз»:</w:t>
      </w:r>
    </w:p>
    <w:p w:rsidR="00A840D6" w:rsidRDefault="00276F6D" w:rsidP="009775A2">
      <w:pPr>
        <w:tabs>
          <w:tab w:val="left" w:pos="1276"/>
          <w:tab w:val="left" w:pos="1701"/>
        </w:tabs>
        <w:spacing w:line="238" w:lineRule="auto"/>
        <w:ind w:firstLine="709"/>
        <w:jc w:val="both"/>
        <w:rPr>
          <w:sz w:val="28"/>
          <w:szCs w:val="28"/>
        </w:rPr>
      </w:pPr>
      <w:r>
        <w:rPr>
          <w:sz w:val="28"/>
          <w:szCs w:val="28"/>
        </w:rPr>
        <w:t xml:space="preserve">не позднее 05 числа каждого месяца в установленном порядке (посредством внесения в СУИМ ПАО «Газпром») – информации об отчуждении (реализации), о поступлении доходов от отчуждения (реализации) непрофильных активов, принадлежащих Обществу, дочерним обществам </w:t>
      </w:r>
      <w:r>
        <w:rPr>
          <w:sz w:val="28"/>
          <w:szCs w:val="28"/>
        </w:rPr>
        <w:br/>
        <w:t>и</w:t>
      </w:r>
      <w:r w:rsidR="00AE22A5">
        <w:rPr>
          <w:sz w:val="28"/>
          <w:szCs w:val="28"/>
        </w:rPr>
        <w:t>ли</w:t>
      </w:r>
      <w:r>
        <w:rPr>
          <w:sz w:val="28"/>
          <w:szCs w:val="28"/>
        </w:rPr>
        <w:t xml:space="preserve"> подконтрольным Обществу организациям;</w:t>
      </w:r>
    </w:p>
    <w:p w:rsidR="00A840D6" w:rsidRDefault="00276F6D" w:rsidP="009775A2">
      <w:pPr>
        <w:tabs>
          <w:tab w:val="left" w:pos="1276"/>
          <w:tab w:val="left" w:pos="1701"/>
        </w:tabs>
        <w:spacing w:line="238" w:lineRule="auto"/>
        <w:ind w:firstLine="709"/>
        <w:jc w:val="both"/>
        <w:rPr>
          <w:sz w:val="28"/>
          <w:szCs w:val="28"/>
        </w:rPr>
      </w:pPr>
      <w:r>
        <w:rPr>
          <w:sz w:val="28"/>
          <w:szCs w:val="28"/>
        </w:rPr>
        <w:t>не позднее 15 июля и 15 ноября отчетного года – информации о ходе отчуждения (реализации) непрофильных активов, принадлежащих Обществу, дочерним обществам и</w:t>
      </w:r>
      <w:r w:rsidR="00AE22A5">
        <w:rPr>
          <w:sz w:val="28"/>
          <w:szCs w:val="28"/>
        </w:rPr>
        <w:t>ли</w:t>
      </w:r>
      <w:r>
        <w:rPr>
          <w:sz w:val="28"/>
          <w:szCs w:val="28"/>
        </w:rPr>
        <w:t xml:space="preserve"> подконтрольным Обществу организациям;</w:t>
      </w:r>
    </w:p>
    <w:p w:rsidR="00A840D6" w:rsidRDefault="00276F6D" w:rsidP="009775A2">
      <w:pPr>
        <w:tabs>
          <w:tab w:val="left" w:pos="1276"/>
          <w:tab w:val="left" w:pos="1701"/>
        </w:tabs>
        <w:spacing w:line="238" w:lineRule="auto"/>
        <w:ind w:firstLine="709"/>
        <w:jc w:val="both"/>
        <w:rPr>
          <w:sz w:val="28"/>
          <w:szCs w:val="28"/>
        </w:rPr>
      </w:pPr>
      <w:r>
        <w:rPr>
          <w:sz w:val="28"/>
          <w:szCs w:val="28"/>
        </w:rPr>
        <w:t>не позднее 15 ноября отчетного года – плана отчуждения непрофильных активов, принадлежащих Обществу, дочерним обществам и</w:t>
      </w:r>
      <w:r w:rsidR="00AE22A5">
        <w:rPr>
          <w:sz w:val="28"/>
          <w:szCs w:val="28"/>
        </w:rPr>
        <w:t>ли</w:t>
      </w:r>
      <w:r>
        <w:rPr>
          <w:sz w:val="28"/>
          <w:szCs w:val="28"/>
        </w:rPr>
        <w:t xml:space="preserve"> подконтрольным Обществу организациям, на следующий отчетный период;</w:t>
      </w:r>
    </w:p>
    <w:p w:rsidR="00A840D6" w:rsidRDefault="00276F6D" w:rsidP="009775A2">
      <w:pPr>
        <w:tabs>
          <w:tab w:val="left" w:pos="1276"/>
          <w:tab w:val="left" w:pos="1701"/>
        </w:tabs>
        <w:spacing w:line="238" w:lineRule="auto"/>
        <w:ind w:firstLine="709"/>
        <w:jc w:val="both"/>
        <w:rPr>
          <w:sz w:val="28"/>
          <w:szCs w:val="28"/>
        </w:rPr>
      </w:pPr>
      <w:r>
        <w:rPr>
          <w:sz w:val="28"/>
          <w:szCs w:val="28"/>
        </w:rPr>
        <w:t>ежеквартально в срок не позднее 05 числа следующего месяца после окончания отчетного квартала – отчета об отчуждении принадлежащих Обществу, дочерним обществам и</w:t>
      </w:r>
      <w:r w:rsidR="00AE22A5">
        <w:rPr>
          <w:sz w:val="28"/>
          <w:szCs w:val="28"/>
        </w:rPr>
        <w:t>ли</w:t>
      </w:r>
      <w:r>
        <w:rPr>
          <w:sz w:val="28"/>
          <w:szCs w:val="28"/>
        </w:rPr>
        <w:t xml:space="preserve"> подконтрольным Обществу организациям непрофильных активов, балансовая (остаточная) стоимость по данным бухгалтерского учета или рыночная стоимость либо кадастровая стоимость (для земельных участков)</w:t>
      </w:r>
      <w:r>
        <w:rPr>
          <w:rStyle w:val="af0"/>
          <w:sz w:val="28"/>
          <w:szCs w:val="28"/>
        </w:rPr>
        <w:footnoteReference w:id="8"/>
      </w:r>
      <w:r>
        <w:rPr>
          <w:sz w:val="28"/>
          <w:szCs w:val="28"/>
        </w:rPr>
        <w:t xml:space="preserve"> которых составляет 30 (тридцать) и более миллионов рублей с учетом НДС.</w:t>
      </w:r>
    </w:p>
    <w:p w:rsidR="00A840D6" w:rsidRDefault="00276F6D" w:rsidP="009775A2">
      <w:pPr>
        <w:tabs>
          <w:tab w:val="left" w:pos="1276"/>
          <w:tab w:val="left" w:pos="1701"/>
        </w:tabs>
        <w:spacing w:line="238" w:lineRule="auto"/>
        <w:ind w:firstLine="709"/>
        <w:jc w:val="both"/>
        <w:rPr>
          <w:sz w:val="28"/>
          <w:szCs w:val="28"/>
        </w:rPr>
      </w:pPr>
      <w:r>
        <w:rPr>
          <w:sz w:val="28"/>
          <w:szCs w:val="28"/>
        </w:rPr>
        <w:t>Формы предоставления информации и указанных документов устанавливаются ПАО «Газпром».</w:t>
      </w:r>
    </w:p>
    <w:p w:rsidR="00A840D6" w:rsidRDefault="00276F6D" w:rsidP="009775A2">
      <w:pPr>
        <w:tabs>
          <w:tab w:val="left" w:pos="1276"/>
          <w:tab w:val="left" w:pos="1701"/>
        </w:tabs>
        <w:spacing w:line="238" w:lineRule="auto"/>
        <w:ind w:firstLine="709"/>
        <w:jc w:val="both"/>
        <w:rPr>
          <w:sz w:val="28"/>
          <w:szCs w:val="28"/>
        </w:rPr>
      </w:pPr>
      <w:r>
        <w:rPr>
          <w:sz w:val="28"/>
          <w:szCs w:val="28"/>
        </w:rPr>
        <w:t>5.2.</w:t>
      </w:r>
      <w:r>
        <w:rPr>
          <w:sz w:val="28"/>
          <w:szCs w:val="28"/>
        </w:rPr>
        <w:tab/>
        <w:t>Информация о безвозмездной передаче Обществом, дочерними обществами и</w:t>
      </w:r>
      <w:r w:rsidR="00AE22A5">
        <w:rPr>
          <w:sz w:val="28"/>
          <w:szCs w:val="28"/>
        </w:rPr>
        <w:t>ли</w:t>
      </w:r>
      <w:r>
        <w:rPr>
          <w:sz w:val="28"/>
          <w:szCs w:val="28"/>
        </w:rPr>
        <w:t xml:space="preserve"> подконтрольными Обществу организациями непрофильных активов представляется в ООО «Газпром межрегионгаз» в течение 5 календарных дней с момента перехода права собственности на активы в целях ее дальнейшего направления ООО «Газпром межрегионгаз» в срок не позднее </w:t>
      </w:r>
      <w:r>
        <w:rPr>
          <w:sz w:val="28"/>
          <w:szCs w:val="28"/>
        </w:rPr>
        <w:br/>
        <w:t xml:space="preserve">15 календарных дней с момента перехода права собственности на активы </w:t>
      </w:r>
      <w:r>
        <w:rPr>
          <w:sz w:val="28"/>
          <w:szCs w:val="28"/>
        </w:rPr>
        <w:br/>
        <w:t>в адрес ПАО «Газпром».</w:t>
      </w:r>
    </w:p>
    <w:p w:rsidR="00A840D6" w:rsidRDefault="00276F6D" w:rsidP="009775A2">
      <w:pPr>
        <w:tabs>
          <w:tab w:val="left" w:pos="1276"/>
          <w:tab w:val="left" w:pos="1701"/>
        </w:tabs>
        <w:spacing w:line="238" w:lineRule="auto"/>
        <w:ind w:firstLine="709"/>
        <w:jc w:val="both"/>
        <w:rPr>
          <w:sz w:val="28"/>
          <w:szCs w:val="28"/>
        </w:rPr>
      </w:pPr>
      <w:r>
        <w:rPr>
          <w:sz w:val="28"/>
          <w:szCs w:val="28"/>
        </w:rPr>
        <w:t xml:space="preserve">Форма предоставления указанной информации устанавливается </w:t>
      </w:r>
      <w:r>
        <w:rPr>
          <w:sz w:val="28"/>
          <w:szCs w:val="28"/>
        </w:rPr>
        <w:br/>
        <w:t>ПАО «Газпром».</w:t>
      </w:r>
    </w:p>
    <w:p w:rsidR="00513012" w:rsidRDefault="00513012" w:rsidP="009775A2">
      <w:pPr>
        <w:tabs>
          <w:tab w:val="left" w:pos="1276"/>
          <w:tab w:val="left" w:pos="1701"/>
        </w:tabs>
        <w:spacing w:line="238" w:lineRule="auto"/>
        <w:ind w:firstLine="709"/>
        <w:jc w:val="both"/>
        <w:rPr>
          <w:sz w:val="28"/>
          <w:szCs w:val="28"/>
        </w:rPr>
      </w:pPr>
    </w:p>
    <w:tbl>
      <w:tblPr>
        <w:tblW w:w="9934" w:type="dxa"/>
        <w:tblLook w:val="04A0" w:firstRow="1" w:lastRow="0" w:firstColumn="1" w:lastColumn="0" w:noHBand="0" w:noVBand="1"/>
      </w:tblPr>
      <w:tblGrid>
        <w:gridCol w:w="5529"/>
        <w:gridCol w:w="2043"/>
        <w:gridCol w:w="2362"/>
      </w:tblGrid>
      <w:tr w:rsidR="00A840D6" w:rsidTr="00513012">
        <w:tc>
          <w:tcPr>
            <w:tcW w:w="5529" w:type="dxa"/>
          </w:tcPr>
          <w:p w:rsidR="00A840D6" w:rsidRDefault="007D0F6B">
            <w:pPr>
              <w:tabs>
                <w:tab w:val="left" w:pos="1134"/>
              </w:tabs>
              <w:rPr>
                <w:b/>
                <w:sz w:val="28"/>
                <w:szCs w:val="28"/>
              </w:rPr>
            </w:pPr>
            <w:r>
              <w:rPr>
                <w:b/>
                <w:sz w:val="28"/>
                <w:szCs w:val="28"/>
              </w:rPr>
              <w:t>Генеральный директор</w:t>
            </w:r>
          </w:p>
          <w:p w:rsidR="00513012" w:rsidRDefault="007D0F6B">
            <w:pPr>
              <w:tabs>
                <w:tab w:val="left" w:pos="1134"/>
              </w:tabs>
              <w:rPr>
                <w:b/>
                <w:sz w:val="28"/>
                <w:szCs w:val="28"/>
              </w:rPr>
            </w:pPr>
            <w:r>
              <w:rPr>
                <w:b/>
                <w:sz w:val="28"/>
                <w:szCs w:val="28"/>
              </w:rPr>
              <w:t>ООО «Газпром межрегионгаз Уфа»</w:t>
            </w:r>
            <w:r w:rsidR="00513012">
              <w:rPr>
                <w:b/>
                <w:sz w:val="28"/>
                <w:szCs w:val="28"/>
              </w:rPr>
              <w:t>-</w:t>
            </w:r>
          </w:p>
          <w:p w:rsidR="007D0F6B" w:rsidRDefault="00513012">
            <w:pPr>
              <w:tabs>
                <w:tab w:val="left" w:pos="1134"/>
              </w:tabs>
              <w:rPr>
                <w:b/>
                <w:sz w:val="28"/>
                <w:szCs w:val="28"/>
              </w:rPr>
            </w:pPr>
            <w:r>
              <w:rPr>
                <w:b/>
                <w:sz w:val="28"/>
                <w:szCs w:val="28"/>
              </w:rPr>
              <w:t>управляющей организации</w:t>
            </w:r>
          </w:p>
          <w:p w:rsidR="00513012" w:rsidRDefault="00513012">
            <w:pPr>
              <w:tabs>
                <w:tab w:val="left" w:pos="1134"/>
              </w:tabs>
              <w:rPr>
                <w:b/>
                <w:sz w:val="28"/>
                <w:szCs w:val="28"/>
              </w:rPr>
            </w:pPr>
            <w:r>
              <w:rPr>
                <w:b/>
                <w:sz w:val="28"/>
                <w:szCs w:val="28"/>
              </w:rPr>
              <w:t>ПАО «Газпром газораспределение Уфа»</w:t>
            </w:r>
          </w:p>
          <w:p w:rsidR="00513012" w:rsidRDefault="00513012">
            <w:pPr>
              <w:tabs>
                <w:tab w:val="left" w:pos="1134"/>
              </w:tabs>
              <w:rPr>
                <w:b/>
                <w:sz w:val="28"/>
                <w:szCs w:val="28"/>
              </w:rPr>
            </w:pPr>
          </w:p>
        </w:tc>
        <w:tc>
          <w:tcPr>
            <w:tcW w:w="2043" w:type="dxa"/>
            <w:tcBorders>
              <w:top w:val="none" w:sz="4" w:space="0" w:color="000000"/>
              <w:left w:val="none" w:sz="4" w:space="0" w:color="000000"/>
              <w:bottom w:val="single" w:sz="4" w:space="0" w:color="auto"/>
              <w:right w:val="none" w:sz="4" w:space="0" w:color="000000"/>
            </w:tcBorders>
          </w:tcPr>
          <w:p w:rsidR="00A840D6" w:rsidRDefault="00A840D6">
            <w:pPr>
              <w:tabs>
                <w:tab w:val="left" w:pos="1134"/>
              </w:tabs>
              <w:jc w:val="both"/>
              <w:rPr>
                <w:sz w:val="28"/>
                <w:szCs w:val="28"/>
              </w:rPr>
            </w:pPr>
          </w:p>
        </w:tc>
        <w:tc>
          <w:tcPr>
            <w:tcW w:w="2362" w:type="dxa"/>
            <w:vAlign w:val="bottom"/>
          </w:tcPr>
          <w:p w:rsidR="00A840D6" w:rsidRDefault="007D0F6B" w:rsidP="00513012">
            <w:pPr>
              <w:tabs>
                <w:tab w:val="left" w:pos="1134"/>
              </w:tabs>
              <w:rPr>
                <w:b/>
                <w:sz w:val="28"/>
                <w:szCs w:val="28"/>
              </w:rPr>
            </w:pPr>
            <w:r>
              <w:rPr>
                <w:b/>
                <w:sz w:val="28"/>
                <w:szCs w:val="28"/>
              </w:rPr>
              <w:t>А</w:t>
            </w:r>
            <w:r w:rsidR="00276F6D">
              <w:rPr>
                <w:b/>
                <w:sz w:val="28"/>
                <w:szCs w:val="28"/>
              </w:rPr>
              <w:t>.</w:t>
            </w:r>
            <w:r>
              <w:rPr>
                <w:b/>
                <w:sz w:val="28"/>
                <w:szCs w:val="28"/>
              </w:rPr>
              <w:t>Р</w:t>
            </w:r>
            <w:r w:rsidR="00276F6D">
              <w:rPr>
                <w:b/>
                <w:sz w:val="28"/>
                <w:szCs w:val="28"/>
              </w:rPr>
              <w:t>. </w:t>
            </w:r>
            <w:r>
              <w:rPr>
                <w:b/>
                <w:sz w:val="28"/>
                <w:szCs w:val="28"/>
              </w:rPr>
              <w:t>Лукманов</w:t>
            </w:r>
          </w:p>
        </w:tc>
      </w:tr>
      <w:tr w:rsidR="00A840D6" w:rsidTr="00513012">
        <w:tc>
          <w:tcPr>
            <w:tcW w:w="5529" w:type="dxa"/>
          </w:tcPr>
          <w:p w:rsidR="00A840D6" w:rsidRDefault="00276F6D">
            <w:pPr>
              <w:tabs>
                <w:tab w:val="left" w:pos="1134"/>
              </w:tabs>
              <w:jc w:val="both"/>
              <w:rPr>
                <w:sz w:val="28"/>
                <w:szCs w:val="28"/>
              </w:rPr>
            </w:pPr>
            <w:r>
              <w:rPr>
                <w:sz w:val="28"/>
                <w:szCs w:val="28"/>
              </w:rPr>
              <w:t>«___» __________ 202_ г.</w:t>
            </w:r>
          </w:p>
          <w:p w:rsidR="00A840D6" w:rsidRDefault="00A840D6">
            <w:pPr>
              <w:tabs>
                <w:tab w:val="left" w:pos="1134"/>
              </w:tabs>
              <w:jc w:val="both"/>
              <w:rPr>
                <w:sz w:val="28"/>
                <w:szCs w:val="28"/>
              </w:rPr>
            </w:pPr>
          </w:p>
        </w:tc>
        <w:tc>
          <w:tcPr>
            <w:tcW w:w="2043" w:type="dxa"/>
            <w:tcBorders>
              <w:top w:val="single" w:sz="4" w:space="0" w:color="auto"/>
              <w:left w:val="none" w:sz="4" w:space="0" w:color="000000"/>
              <w:bottom w:val="none" w:sz="4" w:space="0" w:color="000000"/>
              <w:right w:val="none" w:sz="4" w:space="0" w:color="000000"/>
            </w:tcBorders>
          </w:tcPr>
          <w:p w:rsidR="00A840D6" w:rsidRDefault="00A840D6">
            <w:pPr>
              <w:tabs>
                <w:tab w:val="left" w:pos="1134"/>
              </w:tabs>
              <w:jc w:val="both"/>
              <w:rPr>
                <w:sz w:val="28"/>
                <w:szCs w:val="28"/>
              </w:rPr>
            </w:pPr>
          </w:p>
        </w:tc>
        <w:tc>
          <w:tcPr>
            <w:tcW w:w="2362" w:type="dxa"/>
          </w:tcPr>
          <w:p w:rsidR="00A840D6" w:rsidRDefault="00A840D6">
            <w:pPr>
              <w:tabs>
                <w:tab w:val="left" w:pos="1134"/>
              </w:tabs>
              <w:jc w:val="both"/>
              <w:rPr>
                <w:sz w:val="28"/>
                <w:szCs w:val="28"/>
              </w:rPr>
            </w:pPr>
          </w:p>
        </w:tc>
      </w:tr>
    </w:tbl>
    <w:p w:rsidR="00A840D6" w:rsidRDefault="00A840D6">
      <w:pPr>
        <w:tabs>
          <w:tab w:val="left" w:pos="1276"/>
          <w:tab w:val="left" w:pos="1701"/>
        </w:tabs>
        <w:jc w:val="both"/>
        <w:rPr>
          <w:sz w:val="28"/>
          <w:szCs w:val="28"/>
        </w:rPr>
      </w:pPr>
    </w:p>
    <w:sectPr w:rsidR="00A840D6" w:rsidSect="00FD3FAC">
      <w:headerReference w:type="default" r:id="rId8"/>
      <w:footerReference w:type="default" r:id="rId9"/>
      <w:footerReference w:type="first" r:id="rId10"/>
      <w:pgSz w:w="11906" w:h="16838"/>
      <w:pgMar w:top="993" w:right="851" w:bottom="56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5FBD5A" w16cex:dateUtc="2024-05-28T15:40:24Z"/>
  <w16cex:commentExtensible w16cex:durableId="4FB9E8F2" w16cex:dateUtc="2024-05-28T15:38:04Z"/>
  <w16cex:commentExtensible w16cex:durableId="71FD1BF0" w16cex:dateUtc="2024-05-28T14:02:59Z"/>
  <w16cex:commentExtensible w16cex:durableId="3FADCAE7" w16cex:dateUtc="2024-05-28T13:57:25Z"/>
  <w16cex:commentExtensible w16cex:durableId="0923ACE7" w16cex:dateUtc="2024-05-28T13:56:01Z"/>
  <w16cex:commentExtensible w16cex:durableId="13BD96C9" w16cex:dateUtc="2024-05-28T13:53:59Z"/>
  <w16cex:commentExtensible w16cex:durableId="1E65FAC4" w16cex:dateUtc="2024-05-28T13:47:40Z"/>
  <w16cex:commentExtensible w16cex:durableId="2F8519DA" w16cex:dateUtc="2024-05-28T13:44:07Z"/>
  <w16cex:commentExtensible w16cex:durableId="53F6C7A2" w16cex:dateUtc="2024-05-28T13:41:17Z"/>
  <w16cex:commentExtensible w16cex:durableId="375A260A" w16cex:dateUtc="2024-05-28T13:23:53Z"/>
  <w16cex:commentExtensible w16cex:durableId="4C9533D3" w16cex:dateUtc="2024-05-28T13:23:04Z"/>
  <w16cex:commentExtensible w16cex:durableId="74079CBA" w16cex:dateUtc="2024-05-28T12:40:4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C5FBD5A"/>
  <w16cid:commentId w16cid:paraId="00000002" w16cid:durableId="4FB9E8F2"/>
  <w16cid:commentId w16cid:paraId="00000003" w16cid:durableId="71FD1BF0"/>
  <w16cid:commentId w16cid:paraId="00000004" w16cid:durableId="3FADCAE7"/>
  <w16cid:commentId w16cid:paraId="00000005" w16cid:durableId="0923ACE7"/>
  <w16cid:commentId w16cid:paraId="00000006" w16cid:durableId="13BD96C9"/>
  <w16cid:commentId w16cid:paraId="00000009" w16cid:durableId="1E65FAC4"/>
  <w16cid:commentId w16cid:paraId="0000000A" w16cid:durableId="2F8519DA"/>
  <w16cid:commentId w16cid:paraId="0000000B" w16cid:durableId="53F6C7A2"/>
  <w16cid:commentId w16cid:paraId="0000000C" w16cid:durableId="375A260A"/>
  <w16cid:commentId w16cid:paraId="0000000D" w16cid:durableId="4C9533D3"/>
  <w16cid:commentId w16cid:paraId="00000010" w16cid:durableId="74079C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857" w:rsidRDefault="00FD0857">
      <w:r>
        <w:separator/>
      </w:r>
    </w:p>
  </w:endnote>
  <w:endnote w:type="continuationSeparator" w:id="0">
    <w:p w:rsidR="00FD0857" w:rsidRDefault="00FD0857">
      <w:r>
        <w:continuationSeparator/>
      </w:r>
    </w:p>
  </w:endnote>
  <w:endnote w:type="continuationNotice" w:id="1">
    <w:p w:rsidR="00FD0857" w:rsidRDefault="00FD0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0D6" w:rsidRDefault="00A840D6">
    <w:pPr>
      <w:pStyle w:val="afa"/>
      <w:jc w:val="center"/>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F6B" w:rsidRDefault="007D0F6B" w:rsidP="007D0F6B">
    <w:pPr>
      <w:pStyle w:val="afa"/>
      <w:jc w:val="center"/>
      <w:rPr>
        <w:sz w:val="28"/>
        <w:szCs w:val="28"/>
      </w:rPr>
    </w:pPr>
    <w:r>
      <w:rPr>
        <w:sz w:val="28"/>
        <w:szCs w:val="28"/>
      </w:rPr>
      <w:t>Уфа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857" w:rsidRDefault="00FD0857">
      <w:r>
        <w:separator/>
      </w:r>
    </w:p>
  </w:footnote>
  <w:footnote w:type="continuationSeparator" w:id="0">
    <w:p w:rsidR="00FD0857" w:rsidRDefault="00FD0857">
      <w:r>
        <w:continuationSeparator/>
      </w:r>
    </w:p>
  </w:footnote>
  <w:footnote w:type="continuationNotice" w:id="1">
    <w:p w:rsidR="00FD0857" w:rsidRDefault="00FD0857"/>
  </w:footnote>
  <w:footnote w:id="2">
    <w:p w:rsidR="00A840D6" w:rsidRDefault="00276F6D" w:rsidP="00FD3FAC">
      <w:pPr>
        <w:pStyle w:val="aff5"/>
        <w:spacing w:line="221" w:lineRule="auto"/>
        <w:ind w:firstLine="709"/>
        <w:jc w:val="both"/>
        <w:rPr>
          <w:sz w:val="24"/>
          <w:szCs w:val="24"/>
        </w:rPr>
      </w:pPr>
      <w:r>
        <w:rPr>
          <w:rStyle w:val="af0"/>
          <w:sz w:val="24"/>
          <w:szCs w:val="24"/>
        </w:rPr>
        <w:footnoteRef/>
      </w:r>
      <w:r>
        <w:rPr>
          <w:sz w:val="24"/>
          <w:szCs w:val="24"/>
        </w:rPr>
        <w:t> 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 w:id="3">
    <w:p w:rsidR="00A840D6" w:rsidRDefault="00276F6D">
      <w:pPr>
        <w:pStyle w:val="aff5"/>
        <w:ind w:firstLine="709"/>
        <w:jc w:val="both"/>
        <w:rPr>
          <w:sz w:val="24"/>
          <w:szCs w:val="24"/>
        </w:rPr>
      </w:pPr>
      <w:r>
        <w:rPr>
          <w:sz w:val="24"/>
          <w:szCs w:val="24"/>
          <w:vertAlign w:val="superscript"/>
        </w:rPr>
        <w:footnoteRef/>
      </w:r>
      <w:r>
        <w:rPr>
          <w:sz w:val="24"/>
          <w:szCs w:val="24"/>
        </w:rPr>
        <w:t> 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 w:id="4">
    <w:p w:rsidR="00A840D6" w:rsidRDefault="00276F6D" w:rsidP="00FD3FAC">
      <w:pPr>
        <w:pStyle w:val="aff5"/>
        <w:spacing w:line="235" w:lineRule="auto"/>
        <w:ind w:firstLine="709"/>
        <w:jc w:val="both"/>
        <w:rPr>
          <w:sz w:val="24"/>
          <w:szCs w:val="24"/>
        </w:rPr>
      </w:pPr>
      <w:r>
        <w:rPr>
          <w:sz w:val="24"/>
          <w:szCs w:val="24"/>
          <w:vertAlign w:val="superscript"/>
        </w:rPr>
        <w:footnoteRef/>
      </w:r>
      <w:r>
        <w:rPr>
          <w:sz w:val="24"/>
          <w:szCs w:val="24"/>
        </w:rPr>
        <w:t> </w:t>
      </w:r>
      <w:r>
        <w:rPr>
          <w:sz w:val="22"/>
          <w:szCs w:val="22"/>
        </w:rPr>
        <w:t>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 w:id="5">
    <w:p w:rsidR="00A840D6" w:rsidRDefault="00276F6D" w:rsidP="00FD3FAC">
      <w:pPr>
        <w:pStyle w:val="aff5"/>
        <w:spacing w:line="235" w:lineRule="auto"/>
        <w:ind w:firstLine="709"/>
        <w:jc w:val="both"/>
        <w:rPr>
          <w:sz w:val="24"/>
          <w:szCs w:val="24"/>
        </w:rPr>
      </w:pPr>
      <w:r>
        <w:rPr>
          <w:sz w:val="24"/>
          <w:szCs w:val="24"/>
          <w:vertAlign w:val="superscript"/>
        </w:rPr>
        <w:footnoteRef/>
      </w:r>
      <w:r>
        <w:rPr>
          <w:sz w:val="24"/>
          <w:szCs w:val="24"/>
        </w:rPr>
        <w:t> </w:t>
      </w:r>
      <w:r>
        <w:rPr>
          <w:sz w:val="22"/>
          <w:szCs w:val="22"/>
        </w:rPr>
        <w:t>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 w:id="6">
    <w:p w:rsidR="00A840D6" w:rsidRDefault="00276F6D">
      <w:pPr>
        <w:pStyle w:val="aff5"/>
        <w:ind w:firstLine="709"/>
        <w:jc w:val="both"/>
        <w:rPr>
          <w:sz w:val="24"/>
          <w:szCs w:val="24"/>
        </w:rPr>
      </w:pPr>
      <w:r>
        <w:rPr>
          <w:sz w:val="24"/>
          <w:szCs w:val="24"/>
          <w:vertAlign w:val="superscript"/>
        </w:rPr>
        <w:footnoteRef/>
      </w:r>
      <w:r>
        <w:rPr>
          <w:sz w:val="24"/>
          <w:szCs w:val="24"/>
        </w:rPr>
        <w:t> 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 w:id="7">
    <w:p w:rsidR="00A840D6" w:rsidRDefault="00276F6D">
      <w:pPr>
        <w:pStyle w:val="aff5"/>
        <w:ind w:firstLine="709"/>
        <w:jc w:val="both"/>
        <w:rPr>
          <w:sz w:val="24"/>
          <w:szCs w:val="24"/>
        </w:rPr>
      </w:pPr>
      <w:r>
        <w:rPr>
          <w:sz w:val="24"/>
          <w:szCs w:val="24"/>
          <w:vertAlign w:val="superscript"/>
        </w:rPr>
        <w:footnoteRef/>
      </w:r>
      <w:r>
        <w:rPr>
          <w:sz w:val="24"/>
          <w:szCs w:val="24"/>
        </w:rPr>
        <w:t> 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стоимость имущества.</w:t>
      </w:r>
    </w:p>
  </w:footnote>
  <w:footnote w:id="8">
    <w:p w:rsidR="00A840D6" w:rsidRDefault="00276F6D">
      <w:pPr>
        <w:pStyle w:val="aff5"/>
        <w:ind w:firstLine="709"/>
        <w:jc w:val="both"/>
        <w:rPr>
          <w:sz w:val="24"/>
          <w:szCs w:val="24"/>
        </w:rPr>
      </w:pPr>
      <w:r>
        <w:rPr>
          <w:sz w:val="24"/>
          <w:szCs w:val="24"/>
          <w:vertAlign w:val="superscript"/>
        </w:rPr>
        <w:footnoteRef/>
      </w:r>
      <w:r>
        <w:rPr>
          <w:sz w:val="24"/>
          <w:szCs w:val="24"/>
          <w:vertAlign w:val="superscript"/>
        </w:rPr>
        <w:t> </w:t>
      </w:r>
      <w:r>
        <w:rPr>
          <w:sz w:val="24"/>
          <w:szCs w:val="24"/>
        </w:rPr>
        <w:t>В отношении объектов имущества, имеющих одни и те же идентификационные признаки (место нахождения, назначение и другие признаки), а также отчуждаемых в пользу одного приобретателя либо входящих в единый имущественный комплекс, рассматривается суммарная балансовая (остаточная) или рыночная либо кадастровая стоимость имущества (для земельных участков).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0D6" w:rsidRDefault="00276F6D">
    <w:pPr>
      <w:pStyle w:val="af1"/>
      <w:jc w:val="right"/>
    </w:pPr>
    <w:r>
      <w:fldChar w:fldCharType="begin"/>
    </w:r>
    <w:r>
      <w:instrText>PAGE   \* MERGEFORMAT</w:instrText>
    </w:r>
    <w:r>
      <w:fldChar w:fldCharType="separate"/>
    </w:r>
    <w:r w:rsidR="00370621">
      <w:rPr>
        <w:noProof/>
      </w:rPr>
      <w:t>15</w:t>
    </w:r>
    <w:r>
      <w:fldChar w:fldCharType="end"/>
    </w:r>
  </w:p>
  <w:p w:rsidR="00A840D6" w:rsidRDefault="00A840D6">
    <w:pPr>
      <w:pStyle w:val="af1"/>
      <w:tabs>
        <w:tab w:val="clear" w:pos="4677"/>
        <w:tab w:val="clear" w:pos="9355"/>
        <w:tab w:val="left" w:pos="750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425"/>
    <w:multiLevelType w:val="multilevel"/>
    <w:tmpl w:val="4D680596"/>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00E208AE"/>
    <w:multiLevelType w:val="multilevel"/>
    <w:tmpl w:val="ACF0181C"/>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15:restartNumberingAfterBreak="0">
    <w:nsid w:val="08136936"/>
    <w:multiLevelType w:val="multilevel"/>
    <w:tmpl w:val="40B6075C"/>
    <w:lvl w:ilvl="0">
      <w:start w:val="1"/>
      <w:numFmt w:val="decimal"/>
      <w:lvlText w:val="%1."/>
      <w:lvlJc w:val="left"/>
      <w:pPr>
        <w:tabs>
          <w:tab w:val="num" w:pos="1304"/>
        </w:tabs>
        <w:ind w:left="0" w:firstLine="737"/>
      </w:pPr>
      <w:rPr>
        <w:rFonts w:hint="default"/>
      </w:rPr>
    </w:lvl>
    <w:lvl w:ilvl="1">
      <w:start w:val="1"/>
      <w:numFmt w:val="decimal"/>
      <w:lvlText w:val="%1.%2."/>
      <w:lvlJc w:val="left"/>
      <w:pPr>
        <w:tabs>
          <w:tab w:val="num" w:pos="1985"/>
        </w:tabs>
        <w:ind w:left="0" w:firstLine="1418"/>
      </w:pPr>
      <w:rPr>
        <w:rFonts w:ascii="Times New Roman" w:hAnsi="Times New Roman" w:cs="Times New Roman" w:hint="default"/>
        <w:b w:val="0"/>
        <w:i w:val="0"/>
        <w:sz w:val="28"/>
        <w:szCs w:val="28"/>
      </w:rPr>
    </w:lvl>
    <w:lvl w:ilvl="2">
      <w:start w:val="1"/>
      <w:numFmt w:val="decimal"/>
      <w:lvlText w:val="%1.%2.%3."/>
      <w:lvlJc w:val="left"/>
      <w:pPr>
        <w:tabs>
          <w:tab w:val="num" w:pos="2665"/>
        </w:tabs>
        <w:ind w:left="0" w:firstLine="20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5D001AC"/>
    <w:multiLevelType w:val="multilevel"/>
    <w:tmpl w:val="916C5BF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6F028F1"/>
    <w:multiLevelType w:val="hybridMultilevel"/>
    <w:tmpl w:val="E60C0572"/>
    <w:lvl w:ilvl="0" w:tplc="361C5B54">
      <w:start w:val="5"/>
      <w:numFmt w:val="bullet"/>
      <w:lvlText w:val=""/>
      <w:lvlJc w:val="left"/>
      <w:pPr>
        <w:ind w:left="76" w:hanging="360"/>
      </w:pPr>
      <w:rPr>
        <w:rFonts w:ascii="Symbol" w:eastAsia="Times New Roman" w:hAnsi="Symbol" w:cs="Times New Roman" w:hint="default"/>
      </w:rPr>
    </w:lvl>
    <w:lvl w:ilvl="1" w:tplc="4252CEC2">
      <w:start w:val="1"/>
      <w:numFmt w:val="bullet"/>
      <w:lvlText w:val="o"/>
      <w:lvlJc w:val="left"/>
      <w:pPr>
        <w:ind w:left="796" w:hanging="360"/>
      </w:pPr>
      <w:rPr>
        <w:rFonts w:ascii="Courier New" w:hAnsi="Courier New" w:cs="Courier New" w:hint="default"/>
      </w:rPr>
    </w:lvl>
    <w:lvl w:ilvl="2" w:tplc="765C0F78">
      <w:start w:val="1"/>
      <w:numFmt w:val="bullet"/>
      <w:lvlText w:val=""/>
      <w:lvlJc w:val="left"/>
      <w:pPr>
        <w:ind w:left="1516" w:hanging="360"/>
      </w:pPr>
      <w:rPr>
        <w:rFonts w:ascii="Wingdings" w:hAnsi="Wingdings" w:hint="default"/>
      </w:rPr>
    </w:lvl>
    <w:lvl w:ilvl="3" w:tplc="BE14885E">
      <w:start w:val="1"/>
      <w:numFmt w:val="bullet"/>
      <w:lvlText w:val=""/>
      <w:lvlJc w:val="left"/>
      <w:pPr>
        <w:ind w:left="2236" w:hanging="360"/>
      </w:pPr>
      <w:rPr>
        <w:rFonts w:ascii="Symbol" w:hAnsi="Symbol" w:hint="default"/>
      </w:rPr>
    </w:lvl>
    <w:lvl w:ilvl="4" w:tplc="00BA3AB2">
      <w:start w:val="1"/>
      <w:numFmt w:val="bullet"/>
      <w:lvlText w:val="o"/>
      <w:lvlJc w:val="left"/>
      <w:pPr>
        <w:ind w:left="2956" w:hanging="360"/>
      </w:pPr>
      <w:rPr>
        <w:rFonts w:ascii="Courier New" w:hAnsi="Courier New" w:cs="Courier New" w:hint="default"/>
      </w:rPr>
    </w:lvl>
    <w:lvl w:ilvl="5" w:tplc="259E8FBA">
      <w:start w:val="1"/>
      <w:numFmt w:val="bullet"/>
      <w:lvlText w:val=""/>
      <w:lvlJc w:val="left"/>
      <w:pPr>
        <w:ind w:left="3676" w:hanging="360"/>
      </w:pPr>
      <w:rPr>
        <w:rFonts w:ascii="Wingdings" w:hAnsi="Wingdings" w:hint="default"/>
      </w:rPr>
    </w:lvl>
    <w:lvl w:ilvl="6" w:tplc="5A387368">
      <w:start w:val="1"/>
      <w:numFmt w:val="bullet"/>
      <w:lvlText w:val=""/>
      <w:lvlJc w:val="left"/>
      <w:pPr>
        <w:ind w:left="4396" w:hanging="360"/>
      </w:pPr>
      <w:rPr>
        <w:rFonts w:ascii="Symbol" w:hAnsi="Symbol" w:hint="default"/>
      </w:rPr>
    </w:lvl>
    <w:lvl w:ilvl="7" w:tplc="D9A08A28">
      <w:start w:val="1"/>
      <w:numFmt w:val="bullet"/>
      <w:lvlText w:val="o"/>
      <w:lvlJc w:val="left"/>
      <w:pPr>
        <w:ind w:left="5116" w:hanging="360"/>
      </w:pPr>
      <w:rPr>
        <w:rFonts w:ascii="Courier New" w:hAnsi="Courier New" w:cs="Courier New" w:hint="default"/>
      </w:rPr>
    </w:lvl>
    <w:lvl w:ilvl="8" w:tplc="856CEFE2">
      <w:start w:val="1"/>
      <w:numFmt w:val="bullet"/>
      <w:lvlText w:val=""/>
      <w:lvlJc w:val="left"/>
      <w:pPr>
        <w:ind w:left="5836" w:hanging="360"/>
      </w:pPr>
      <w:rPr>
        <w:rFonts w:ascii="Wingdings" w:hAnsi="Wingdings" w:hint="default"/>
      </w:rPr>
    </w:lvl>
  </w:abstractNum>
  <w:abstractNum w:abstractNumId="5" w15:restartNumberingAfterBreak="0">
    <w:nsid w:val="195F0AE3"/>
    <w:multiLevelType w:val="multilevel"/>
    <w:tmpl w:val="2E303FA0"/>
    <w:lvl w:ilvl="0">
      <w:start w:val="1"/>
      <w:numFmt w:val="none"/>
      <w:lvlText w:val="4"/>
      <w:lvlJc w:val="left"/>
      <w:pPr>
        <w:tabs>
          <w:tab w:val="num" w:pos="432"/>
        </w:tabs>
        <w:ind w:left="432" w:hanging="432"/>
      </w:pPr>
      <w:rPr>
        <w:rFonts w:hint="default"/>
      </w:rPr>
    </w:lvl>
    <w:lvl w:ilvl="1">
      <w:start w:val="1"/>
      <w:numFmt w:val="decimal"/>
      <w:lvlText w:val="%13.%2.1."/>
      <w:lvlJc w:val="left"/>
      <w:pPr>
        <w:tabs>
          <w:tab w:val="num" w:pos="576"/>
        </w:tabs>
        <w:ind w:left="576" w:hanging="576"/>
      </w:pPr>
      <w:rPr>
        <w:rFonts w:hint="default"/>
      </w:rPr>
    </w:lvl>
    <w:lvl w:ilvl="2">
      <w:start w:val="1"/>
      <w:numFmt w:val="decimal"/>
      <w:lvlText w:val="%13.%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2636CA"/>
    <w:multiLevelType w:val="multilevel"/>
    <w:tmpl w:val="54AA939C"/>
    <w:lvl w:ilvl="0">
      <w:start w:val="4"/>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3342B9B"/>
    <w:multiLevelType w:val="hybridMultilevel"/>
    <w:tmpl w:val="0D1E8D44"/>
    <w:lvl w:ilvl="0" w:tplc="F5E6FAD0">
      <w:start w:val="2"/>
      <w:numFmt w:val="bullet"/>
      <w:lvlText w:val="–"/>
      <w:lvlJc w:val="left"/>
      <w:pPr>
        <w:ind w:left="720" w:hanging="360"/>
      </w:pPr>
      <w:rPr>
        <w:rFonts w:ascii="Times New Roman" w:eastAsia="Times New Roman" w:hAnsi="Times New Roman" w:cs="Times New Roman" w:hint="default"/>
        <w:sz w:val="24"/>
      </w:rPr>
    </w:lvl>
    <w:lvl w:ilvl="1" w:tplc="BE3A3968">
      <w:start w:val="1"/>
      <w:numFmt w:val="bullet"/>
      <w:lvlText w:val="o"/>
      <w:lvlJc w:val="left"/>
      <w:pPr>
        <w:ind w:left="1440" w:hanging="360"/>
      </w:pPr>
      <w:rPr>
        <w:rFonts w:ascii="Courier New" w:hAnsi="Courier New" w:cs="Courier New" w:hint="default"/>
      </w:rPr>
    </w:lvl>
    <w:lvl w:ilvl="2" w:tplc="B262C83C">
      <w:start w:val="1"/>
      <w:numFmt w:val="bullet"/>
      <w:lvlText w:val=""/>
      <w:lvlJc w:val="left"/>
      <w:pPr>
        <w:ind w:left="2160" w:hanging="360"/>
      </w:pPr>
      <w:rPr>
        <w:rFonts w:ascii="Wingdings" w:hAnsi="Wingdings" w:hint="default"/>
      </w:rPr>
    </w:lvl>
    <w:lvl w:ilvl="3" w:tplc="538EE758">
      <w:start w:val="1"/>
      <w:numFmt w:val="bullet"/>
      <w:lvlText w:val=""/>
      <w:lvlJc w:val="left"/>
      <w:pPr>
        <w:ind w:left="2880" w:hanging="360"/>
      </w:pPr>
      <w:rPr>
        <w:rFonts w:ascii="Symbol" w:hAnsi="Symbol" w:hint="default"/>
      </w:rPr>
    </w:lvl>
    <w:lvl w:ilvl="4" w:tplc="CF301408">
      <w:start w:val="1"/>
      <w:numFmt w:val="bullet"/>
      <w:lvlText w:val="o"/>
      <w:lvlJc w:val="left"/>
      <w:pPr>
        <w:ind w:left="3600" w:hanging="360"/>
      </w:pPr>
      <w:rPr>
        <w:rFonts w:ascii="Courier New" w:hAnsi="Courier New" w:cs="Courier New" w:hint="default"/>
      </w:rPr>
    </w:lvl>
    <w:lvl w:ilvl="5" w:tplc="E7880FE8">
      <w:start w:val="1"/>
      <w:numFmt w:val="bullet"/>
      <w:lvlText w:val=""/>
      <w:lvlJc w:val="left"/>
      <w:pPr>
        <w:ind w:left="4320" w:hanging="360"/>
      </w:pPr>
      <w:rPr>
        <w:rFonts w:ascii="Wingdings" w:hAnsi="Wingdings" w:hint="default"/>
      </w:rPr>
    </w:lvl>
    <w:lvl w:ilvl="6" w:tplc="770ECBE0">
      <w:start w:val="1"/>
      <w:numFmt w:val="bullet"/>
      <w:lvlText w:val=""/>
      <w:lvlJc w:val="left"/>
      <w:pPr>
        <w:ind w:left="5040" w:hanging="360"/>
      </w:pPr>
      <w:rPr>
        <w:rFonts w:ascii="Symbol" w:hAnsi="Symbol" w:hint="default"/>
      </w:rPr>
    </w:lvl>
    <w:lvl w:ilvl="7" w:tplc="DB16575A">
      <w:start w:val="1"/>
      <w:numFmt w:val="bullet"/>
      <w:lvlText w:val="o"/>
      <w:lvlJc w:val="left"/>
      <w:pPr>
        <w:ind w:left="5760" w:hanging="360"/>
      </w:pPr>
      <w:rPr>
        <w:rFonts w:ascii="Courier New" w:hAnsi="Courier New" w:cs="Courier New" w:hint="default"/>
      </w:rPr>
    </w:lvl>
    <w:lvl w:ilvl="8" w:tplc="9ABEF7EE">
      <w:start w:val="1"/>
      <w:numFmt w:val="bullet"/>
      <w:lvlText w:val=""/>
      <w:lvlJc w:val="left"/>
      <w:pPr>
        <w:ind w:left="6480" w:hanging="360"/>
      </w:pPr>
      <w:rPr>
        <w:rFonts w:ascii="Wingdings" w:hAnsi="Wingdings" w:hint="default"/>
      </w:rPr>
    </w:lvl>
  </w:abstractNum>
  <w:abstractNum w:abstractNumId="8" w15:restartNumberingAfterBreak="0">
    <w:nsid w:val="30195AE1"/>
    <w:multiLevelType w:val="multilevel"/>
    <w:tmpl w:val="5F5CCEC6"/>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4123"/>
        </w:tabs>
        <w:ind w:left="4123"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38402786"/>
    <w:multiLevelType w:val="multilevel"/>
    <w:tmpl w:val="03FC28D0"/>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15:restartNumberingAfterBreak="0">
    <w:nsid w:val="390D59A6"/>
    <w:multiLevelType w:val="multilevel"/>
    <w:tmpl w:val="F872E23A"/>
    <w:lvl w:ilvl="0">
      <w:start w:val="3"/>
      <w:numFmt w:val="decimal"/>
      <w:lvlText w:val="%1."/>
      <w:lvlJc w:val="left"/>
      <w:pPr>
        <w:ind w:left="1385" w:hanging="675"/>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15:restartNumberingAfterBreak="0">
    <w:nsid w:val="39E25074"/>
    <w:multiLevelType w:val="multilevel"/>
    <w:tmpl w:val="62886B6C"/>
    <w:lvl w:ilvl="0">
      <w:start w:val="1"/>
      <w:numFmt w:val="decimal"/>
      <w:lvlText w:val="%1."/>
      <w:lvlJc w:val="left"/>
      <w:pPr>
        <w:tabs>
          <w:tab w:val="num" w:pos="1304"/>
        </w:tabs>
        <w:ind w:left="0" w:firstLine="737"/>
      </w:pPr>
      <w:rPr>
        <w:rFonts w:hint="default"/>
      </w:rPr>
    </w:lvl>
    <w:lvl w:ilvl="1">
      <w:start w:val="1"/>
      <w:numFmt w:val="bullet"/>
      <w:lvlText w:val=""/>
      <w:lvlJc w:val="left"/>
      <w:pPr>
        <w:tabs>
          <w:tab w:val="num" w:pos="1985"/>
        </w:tabs>
        <w:ind w:left="0" w:firstLine="1418"/>
      </w:pPr>
      <w:rPr>
        <w:rFonts w:ascii="Symbol" w:hAnsi="Symbol" w:hint="default"/>
        <w:b w:val="0"/>
        <w:sz w:val="28"/>
        <w:szCs w:val="28"/>
      </w:rPr>
    </w:lvl>
    <w:lvl w:ilvl="2">
      <w:start w:val="1"/>
      <w:numFmt w:val="decimal"/>
      <w:lvlText w:val="%1.%2.%3."/>
      <w:lvlJc w:val="left"/>
      <w:pPr>
        <w:tabs>
          <w:tab w:val="num" w:pos="2665"/>
        </w:tabs>
        <w:ind w:left="0" w:firstLine="20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ADF29BC"/>
    <w:multiLevelType w:val="multilevel"/>
    <w:tmpl w:val="7A8CC366"/>
    <w:lvl w:ilvl="0">
      <w:start w:val="1"/>
      <w:numFmt w:val="decimal"/>
      <w:lvlText w:val="%1."/>
      <w:lvlJc w:val="left"/>
      <w:rPr>
        <w:rFonts w:ascii="Times New Roman" w:eastAsia="Times New Roman" w:hAnsi="Times New Roman" w:cs="Times New Roman"/>
        <w:b/>
        <w:bCs/>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3" w15:restartNumberingAfterBreak="0">
    <w:nsid w:val="42D703EF"/>
    <w:multiLevelType w:val="multilevel"/>
    <w:tmpl w:val="BE3C9AB8"/>
    <w:lvl w:ilvl="0">
      <w:start w:val="4"/>
      <w:numFmt w:val="decimal"/>
      <w:lvlText w:val="%1."/>
      <w:lvlJc w:val="left"/>
      <w:pPr>
        <w:ind w:left="675" w:hanging="675"/>
      </w:pPr>
      <w:rPr>
        <w:rFonts w:hint="default"/>
      </w:rPr>
    </w:lvl>
    <w:lvl w:ilvl="1">
      <w:start w:val="7"/>
      <w:numFmt w:val="decimal"/>
      <w:lvlText w:val="%1.%2."/>
      <w:lvlJc w:val="left"/>
      <w:pPr>
        <w:ind w:left="1262" w:hanging="720"/>
      </w:pPr>
      <w:rPr>
        <w:rFonts w:hint="default"/>
      </w:rPr>
    </w:lvl>
    <w:lvl w:ilvl="2">
      <w:start w:val="1"/>
      <w:numFmt w:val="decimal"/>
      <w:lvlText w:val="4.8.%3."/>
      <w:lvlJc w:val="left"/>
      <w:pPr>
        <w:ind w:left="2280" w:hanging="720"/>
      </w:pPr>
      <w:rPr>
        <w:rFonts w:hint="default"/>
      </w:rPr>
    </w:lvl>
    <w:lvl w:ilvl="3">
      <w:start w:val="1"/>
      <w:numFmt w:val="decimal"/>
      <w:lvlText w:val="%1.%2.%3.%4."/>
      <w:lvlJc w:val="left"/>
      <w:pPr>
        <w:ind w:left="2706" w:hanging="108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4150" w:hanging="1440"/>
      </w:pPr>
      <w:rPr>
        <w:rFonts w:hint="default"/>
      </w:rPr>
    </w:lvl>
    <w:lvl w:ilvl="6">
      <w:start w:val="1"/>
      <w:numFmt w:val="decimal"/>
      <w:lvlText w:val="%1.%2.%3.%4.%5.%6.%7."/>
      <w:lvlJc w:val="left"/>
      <w:pPr>
        <w:ind w:left="5052" w:hanging="1800"/>
      </w:pPr>
      <w:rPr>
        <w:rFonts w:hint="default"/>
      </w:rPr>
    </w:lvl>
    <w:lvl w:ilvl="7">
      <w:start w:val="1"/>
      <w:numFmt w:val="decimal"/>
      <w:lvlText w:val="%1.%2.%3.%4.%5.%6.%7.%8."/>
      <w:lvlJc w:val="left"/>
      <w:pPr>
        <w:ind w:left="5594" w:hanging="1800"/>
      </w:pPr>
      <w:rPr>
        <w:rFonts w:hint="default"/>
      </w:rPr>
    </w:lvl>
    <w:lvl w:ilvl="8">
      <w:start w:val="1"/>
      <w:numFmt w:val="decimal"/>
      <w:lvlText w:val="%1.%2.%3.%4.%5.%6.%7.%8.%9."/>
      <w:lvlJc w:val="left"/>
      <w:pPr>
        <w:ind w:left="6496" w:hanging="2160"/>
      </w:pPr>
      <w:rPr>
        <w:rFonts w:hint="default"/>
      </w:rPr>
    </w:lvl>
  </w:abstractNum>
  <w:abstractNum w:abstractNumId="14" w15:restartNumberingAfterBreak="0">
    <w:nsid w:val="43D5006E"/>
    <w:multiLevelType w:val="hybridMultilevel"/>
    <w:tmpl w:val="38F8DA9A"/>
    <w:lvl w:ilvl="0" w:tplc="E32CCF84">
      <w:start w:val="1"/>
      <w:numFmt w:val="bullet"/>
      <w:lvlText w:val="-"/>
      <w:lvlJc w:val="left"/>
      <w:pPr>
        <w:ind w:left="1429" w:hanging="36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1" w:tplc="81785336">
      <w:start w:val="1"/>
      <w:numFmt w:val="bullet"/>
      <w:lvlText w:val="o"/>
      <w:lvlJc w:val="left"/>
      <w:pPr>
        <w:ind w:left="2149" w:hanging="360"/>
      </w:pPr>
      <w:rPr>
        <w:rFonts w:ascii="Courier New" w:hAnsi="Courier New" w:cs="Courier New" w:hint="default"/>
      </w:rPr>
    </w:lvl>
    <w:lvl w:ilvl="2" w:tplc="B9E4F232">
      <w:start w:val="1"/>
      <w:numFmt w:val="bullet"/>
      <w:lvlText w:val=""/>
      <w:lvlJc w:val="left"/>
      <w:pPr>
        <w:ind w:left="2869" w:hanging="360"/>
      </w:pPr>
      <w:rPr>
        <w:rFonts w:ascii="Wingdings" w:hAnsi="Wingdings" w:hint="default"/>
      </w:rPr>
    </w:lvl>
    <w:lvl w:ilvl="3" w:tplc="2A4028FC">
      <w:start w:val="1"/>
      <w:numFmt w:val="bullet"/>
      <w:lvlText w:val=""/>
      <w:lvlJc w:val="left"/>
      <w:pPr>
        <w:ind w:left="3589" w:hanging="360"/>
      </w:pPr>
      <w:rPr>
        <w:rFonts w:ascii="Symbol" w:hAnsi="Symbol" w:hint="default"/>
      </w:rPr>
    </w:lvl>
    <w:lvl w:ilvl="4" w:tplc="B3B23634">
      <w:start w:val="1"/>
      <w:numFmt w:val="bullet"/>
      <w:lvlText w:val="o"/>
      <w:lvlJc w:val="left"/>
      <w:pPr>
        <w:ind w:left="4309" w:hanging="360"/>
      </w:pPr>
      <w:rPr>
        <w:rFonts w:ascii="Courier New" w:hAnsi="Courier New" w:cs="Courier New" w:hint="default"/>
      </w:rPr>
    </w:lvl>
    <w:lvl w:ilvl="5" w:tplc="B56A3738">
      <w:start w:val="1"/>
      <w:numFmt w:val="bullet"/>
      <w:lvlText w:val=""/>
      <w:lvlJc w:val="left"/>
      <w:pPr>
        <w:ind w:left="5029" w:hanging="360"/>
      </w:pPr>
      <w:rPr>
        <w:rFonts w:ascii="Wingdings" w:hAnsi="Wingdings" w:hint="default"/>
      </w:rPr>
    </w:lvl>
    <w:lvl w:ilvl="6" w:tplc="D0EEDBDE">
      <w:start w:val="1"/>
      <w:numFmt w:val="bullet"/>
      <w:lvlText w:val=""/>
      <w:lvlJc w:val="left"/>
      <w:pPr>
        <w:ind w:left="5749" w:hanging="360"/>
      </w:pPr>
      <w:rPr>
        <w:rFonts w:ascii="Symbol" w:hAnsi="Symbol" w:hint="default"/>
      </w:rPr>
    </w:lvl>
    <w:lvl w:ilvl="7" w:tplc="5DCCD848">
      <w:start w:val="1"/>
      <w:numFmt w:val="bullet"/>
      <w:lvlText w:val="o"/>
      <w:lvlJc w:val="left"/>
      <w:pPr>
        <w:ind w:left="6469" w:hanging="360"/>
      </w:pPr>
      <w:rPr>
        <w:rFonts w:ascii="Courier New" w:hAnsi="Courier New" w:cs="Courier New" w:hint="default"/>
      </w:rPr>
    </w:lvl>
    <w:lvl w:ilvl="8" w:tplc="CF0CBE16">
      <w:start w:val="1"/>
      <w:numFmt w:val="bullet"/>
      <w:lvlText w:val=""/>
      <w:lvlJc w:val="left"/>
      <w:pPr>
        <w:ind w:left="7189" w:hanging="360"/>
      </w:pPr>
      <w:rPr>
        <w:rFonts w:ascii="Wingdings" w:hAnsi="Wingdings" w:hint="default"/>
      </w:rPr>
    </w:lvl>
  </w:abstractNum>
  <w:abstractNum w:abstractNumId="15" w15:restartNumberingAfterBreak="0">
    <w:nsid w:val="550975BD"/>
    <w:multiLevelType w:val="multilevel"/>
    <w:tmpl w:val="2286E010"/>
    <w:lvl w:ilvl="0">
      <w:start w:val="4"/>
      <w:numFmt w:val="decimal"/>
      <w:lvlText w:val="%1."/>
      <w:lvlJc w:val="left"/>
      <w:pPr>
        <w:ind w:left="675" w:hanging="675"/>
      </w:pPr>
      <w:rPr>
        <w:rFonts w:hint="default"/>
      </w:rPr>
    </w:lvl>
    <w:lvl w:ilvl="1">
      <w:start w:val="6"/>
      <w:numFmt w:val="decimal"/>
      <w:lvlText w:val="%1.%2."/>
      <w:lvlJc w:val="left"/>
      <w:pPr>
        <w:ind w:left="1217" w:hanging="720"/>
      </w:pPr>
      <w:rPr>
        <w:rFonts w:hint="default"/>
      </w:rPr>
    </w:lvl>
    <w:lvl w:ilvl="2">
      <w:start w:val="5"/>
      <w:numFmt w:val="decimal"/>
      <w:lvlText w:val="%1.%2.%3."/>
      <w:lvlJc w:val="left"/>
      <w:pPr>
        <w:ind w:left="1714" w:hanging="720"/>
      </w:pPr>
      <w:rPr>
        <w:rFonts w:hint="default"/>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782" w:hanging="180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6136" w:hanging="2160"/>
      </w:pPr>
      <w:rPr>
        <w:rFonts w:hint="default"/>
      </w:rPr>
    </w:lvl>
  </w:abstractNum>
  <w:abstractNum w:abstractNumId="16" w15:restartNumberingAfterBreak="0">
    <w:nsid w:val="5BEB18BE"/>
    <w:multiLevelType w:val="hybridMultilevel"/>
    <w:tmpl w:val="AB823A52"/>
    <w:lvl w:ilvl="0" w:tplc="BEEC0E8C">
      <w:start w:val="1"/>
      <w:numFmt w:val="decimal"/>
      <w:lvlText w:val="%1."/>
      <w:lvlJc w:val="left"/>
      <w:pPr>
        <w:ind w:left="1440" w:hanging="360"/>
      </w:pPr>
    </w:lvl>
    <w:lvl w:ilvl="1" w:tplc="6B6CAFA0">
      <w:start w:val="1"/>
      <w:numFmt w:val="lowerLetter"/>
      <w:lvlText w:val="%2."/>
      <w:lvlJc w:val="left"/>
      <w:pPr>
        <w:ind w:left="2160" w:hanging="360"/>
      </w:pPr>
    </w:lvl>
    <w:lvl w:ilvl="2" w:tplc="04C2C006">
      <w:start w:val="1"/>
      <w:numFmt w:val="lowerRoman"/>
      <w:lvlText w:val="%3."/>
      <w:lvlJc w:val="right"/>
      <w:pPr>
        <w:ind w:left="2880" w:hanging="180"/>
      </w:pPr>
    </w:lvl>
    <w:lvl w:ilvl="3" w:tplc="503EBDE8">
      <w:start w:val="1"/>
      <w:numFmt w:val="decimal"/>
      <w:lvlText w:val="%4."/>
      <w:lvlJc w:val="left"/>
      <w:pPr>
        <w:ind w:left="3600" w:hanging="360"/>
      </w:pPr>
    </w:lvl>
    <w:lvl w:ilvl="4" w:tplc="F892C4EE">
      <w:start w:val="1"/>
      <w:numFmt w:val="lowerLetter"/>
      <w:lvlText w:val="%5."/>
      <w:lvlJc w:val="left"/>
      <w:pPr>
        <w:ind w:left="4320" w:hanging="360"/>
      </w:pPr>
    </w:lvl>
    <w:lvl w:ilvl="5" w:tplc="73B68398">
      <w:start w:val="1"/>
      <w:numFmt w:val="lowerRoman"/>
      <w:lvlText w:val="%6."/>
      <w:lvlJc w:val="right"/>
      <w:pPr>
        <w:ind w:left="5040" w:hanging="180"/>
      </w:pPr>
    </w:lvl>
    <w:lvl w:ilvl="6" w:tplc="F5905940">
      <w:start w:val="1"/>
      <w:numFmt w:val="decimal"/>
      <w:lvlText w:val="%7."/>
      <w:lvlJc w:val="left"/>
      <w:pPr>
        <w:ind w:left="5760" w:hanging="360"/>
      </w:pPr>
    </w:lvl>
    <w:lvl w:ilvl="7" w:tplc="58B2400E">
      <w:start w:val="1"/>
      <w:numFmt w:val="lowerLetter"/>
      <w:lvlText w:val="%8."/>
      <w:lvlJc w:val="left"/>
      <w:pPr>
        <w:ind w:left="6480" w:hanging="360"/>
      </w:pPr>
    </w:lvl>
    <w:lvl w:ilvl="8" w:tplc="CD64E982">
      <w:start w:val="1"/>
      <w:numFmt w:val="lowerRoman"/>
      <w:lvlText w:val="%9."/>
      <w:lvlJc w:val="right"/>
      <w:pPr>
        <w:ind w:left="7200" w:hanging="180"/>
      </w:pPr>
    </w:lvl>
  </w:abstractNum>
  <w:abstractNum w:abstractNumId="17" w15:restartNumberingAfterBreak="0">
    <w:nsid w:val="5C903AF4"/>
    <w:multiLevelType w:val="hybridMultilevel"/>
    <w:tmpl w:val="D576B626"/>
    <w:lvl w:ilvl="0" w:tplc="51B8899C">
      <w:start w:val="1"/>
      <w:numFmt w:val="bullet"/>
      <w:lvlText w:val=""/>
      <w:lvlJc w:val="left"/>
      <w:pPr>
        <w:ind w:left="1429" w:hanging="360"/>
      </w:pPr>
      <w:rPr>
        <w:rFonts w:ascii="Symbol" w:hAnsi="Symbol" w:hint="default"/>
      </w:rPr>
    </w:lvl>
    <w:lvl w:ilvl="1" w:tplc="AC1A13FA">
      <w:start w:val="1"/>
      <w:numFmt w:val="bullet"/>
      <w:lvlText w:val="o"/>
      <w:lvlJc w:val="left"/>
      <w:pPr>
        <w:ind w:left="2149" w:hanging="360"/>
      </w:pPr>
      <w:rPr>
        <w:rFonts w:ascii="Courier New" w:hAnsi="Courier New" w:cs="Courier New" w:hint="default"/>
      </w:rPr>
    </w:lvl>
    <w:lvl w:ilvl="2" w:tplc="A7784F70">
      <w:start w:val="1"/>
      <w:numFmt w:val="bullet"/>
      <w:lvlText w:val=""/>
      <w:lvlJc w:val="left"/>
      <w:pPr>
        <w:ind w:left="2869" w:hanging="360"/>
      </w:pPr>
      <w:rPr>
        <w:rFonts w:ascii="Wingdings" w:hAnsi="Wingdings" w:hint="default"/>
      </w:rPr>
    </w:lvl>
    <w:lvl w:ilvl="3" w:tplc="D59080F0">
      <w:start w:val="1"/>
      <w:numFmt w:val="bullet"/>
      <w:lvlText w:val=""/>
      <w:lvlJc w:val="left"/>
      <w:pPr>
        <w:ind w:left="3589" w:hanging="360"/>
      </w:pPr>
      <w:rPr>
        <w:rFonts w:ascii="Symbol" w:hAnsi="Symbol" w:hint="default"/>
      </w:rPr>
    </w:lvl>
    <w:lvl w:ilvl="4" w:tplc="F8928B1C">
      <w:start w:val="1"/>
      <w:numFmt w:val="bullet"/>
      <w:lvlText w:val="o"/>
      <w:lvlJc w:val="left"/>
      <w:pPr>
        <w:ind w:left="4309" w:hanging="360"/>
      </w:pPr>
      <w:rPr>
        <w:rFonts w:ascii="Courier New" w:hAnsi="Courier New" w:cs="Courier New" w:hint="default"/>
      </w:rPr>
    </w:lvl>
    <w:lvl w:ilvl="5" w:tplc="3BE4297E">
      <w:start w:val="1"/>
      <w:numFmt w:val="bullet"/>
      <w:lvlText w:val=""/>
      <w:lvlJc w:val="left"/>
      <w:pPr>
        <w:ind w:left="5029" w:hanging="360"/>
      </w:pPr>
      <w:rPr>
        <w:rFonts w:ascii="Wingdings" w:hAnsi="Wingdings" w:hint="default"/>
      </w:rPr>
    </w:lvl>
    <w:lvl w:ilvl="6" w:tplc="172C6936">
      <w:start w:val="1"/>
      <w:numFmt w:val="bullet"/>
      <w:lvlText w:val=""/>
      <w:lvlJc w:val="left"/>
      <w:pPr>
        <w:ind w:left="5749" w:hanging="360"/>
      </w:pPr>
      <w:rPr>
        <w:rFonts w:ascii="Symbol" w:hAnsi="Symbol" w:hint="default"/>
      </w:rPr>
    </w:lvl>
    <w:lvl w:ilvl="7" w:tplc="D0500932">
      <w:start w:val="1"/>
      <w:numFmt w:val="bullet"/>
      <w:lvlText w:val="o"/>
      <w:lvlJc w:val="left"/>
      <w:pPr>
        <w:ind w:left="6469" w:hanging="360"/>
      </w:pPr>
      <w:rPr>
        <w:rFonts w:ascii="Courier New" w:hAnsi="Courier New" w:cs="Courier New" w:hint="default"/>
      </w:rPr>
    </w:lvl>
    <w:lvl w:ilvl="8" w:tplc="01FA4124">
      <w:start w:val="1"/>
      <w:numFmt w:val="bullet"/>
      <w:lvlText w:val=""/>
      <w:lvlJc w:val="left"/>
      <w:pPr>
        <w:ind w:left="7189" w:hanging="360"/>
      </w:pPr>
      <w:rPr>
        <w:rFonts w:ascii="Wingdings" w:hAnsi="Wingdings" w:hint="default"/>
      </w:rPr>
    </w:lvl>
  </w:abstractNum>
  <w:abstractNum w:abstractNumId="18" w15:restartNumberingAfterBreak="0">
    <w:nsid w:val="6A33054B"/>
    <w:multiLevelType w:val="hybridMultilevel"/>
    <w:tmpl w:val="8208DFC0"/>
    <w:lvl w:ilvl="0" w:tplc="72242DE6">
      <w:start w:val="1"/>
      <w:numFmt w:val="decimal"/>
      <w:lvlText w:val="%1."/>
      <w:lvlJc w:val="left"/>
      <w:pPr>
        <w:ind w:left="720" w:hanging="360"/>
      </w:pPr>
      <w:rPr>
        <w:rFonts w:hint="default"/>
      </w:rPr>
    </w:lvl>
    <w:lvl w:ilvl="1" w:tplc="27F8C2E0">
      <w:start w:val="1"/>
      <w:numFmt w:val="lowerLetter"/>
      <w:lvlText w:val="%2."/>
      <w:lvlJc w:val="left"/>
      <w:pPr>
        <w:ind w:left="1440" w:hanging="360"/>
      </w:pPr>
    </w:lvl>
    <w:lvl w:ilvl="2" w:tplc="9530D9F0">
      <w:start w:val="1"/>
      <w:numFmt w:val="lowerRoman"/>
      <w:lvlText w:val="%3."/>
      <w:lvlJc w:val="right"/>
      <w:pPr>
        <w:ind w:left="2160" w:hanging="180"/>
      </w:pPr>
    </w:lvl>
    <w:lvl w:ilvl="3" w:tplc="44CA8D34">
      <w:start w:val="1"/>
      <w:numFmt w:val="decimal"/>
      <w:lvlText w:val="%4."/>
      <w:lvlJc w:val="left"/>
      <w:pPr>
        <w:ind w:left="2880" w:hanging="360"/>
      </w:pPr>
    </w:lvl>
    <w:lvl w:ilvl="4" w:tplc="704231D0">
      <w:start w:val="1"/>
      <w:numFmt w:val="lowerLetter"/>
      <w:lvlText w:val="%5."/>
      <w:lvlJc w:val="left"/>
      <w:pPr>
        <w:ind w:left="3600" w:hanging="360"/>
      </w:pPr>
    </w:lvl>
    <w:lvl w:ilvl="5" w:tplc="862EF902">
      <w:start w:val="1"/>
      <w:numFmt w:val="lowerRoman"/>
      <w:lvlText w:val="%6."/>
      <w:lvlJc w:val="right"/>
      <w:pPr>
        <w:ind w:left="4320" w:hanging="180"/>
      </w:pPr>
    </w:lvl>
    <w:lvl w:ilvl="6" w:tplc="5BDEE598">
      <w:start w:val="1"/>
      <w:numFmt w:val="decimal"/>
      <w:lvlText w:val="%7."/>
      <w:lvlJc w:val="left"/>
      <w:pPr>
        <w:ind w:left="5040" w:hanging="360"/>
      </w:pPr>
    </w:lvl>
    <w:lvl w:ilvl="7" w:tplc="92381C7A">
      <w:start w:val="1"/>
      <w:numFmt w:val="lowerLetter"/>
      <w:lvlText w:val="%8."/>
      <w:lvlJc w:val="left"/>
      <w:pPr>
        <w:ind w:left="5760" w:hanging="360"/>
      </w:pPr>
    </w:lvl>
    <w:lvl w:ilvl="8" w:tplc="BC88579A">
      <w:start w:val="1"/>
      <w:numFmt w:val="lowerRoman"/>
      <w:lvlText w:val="%9."/>
      <w:lvlJc w:val="right"/>
      <w:pPr>
        <w:ind w:left="6480" w:hanging="180"/>
      </w:pPr>
    </w:lvl>
  </w:abstractNum>
  <w:abstractNum w:abstractNumId="19" w15:restartNumberingAfterBreak="0">
    <w:nsid w:val="6BF27F6E"/>
    <w:multiLevelType w:val="multilevel"/>
    <w:tmpl w:val="67F4716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714D70F0"/>
    <w:multiLevelType w:val="multilevel"/>
    <w:tmpl w:val="4D4254F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719B22DB"/>
    <w:multiLevelType w:val="hybridMultilevel"/>
    <w:tmpl w:val="E55C97DA"/>
    <w:lvl w:ilvl="0" w:tplc="11649D94">
      <w:start w:val="5"/>
      <w:numFmt w:val="bullet"/>
      <w:lvlText w:val=""/>
      <w:lvlJc w:val="left"/>
      <w:pPr>
        <w:ind w:left="720" w:hanging="360"/>
      </w:pPr>
      <w:rPr>
        <w:rFonts w:ascii="Symbol" w:eastAsia="Times New Roman" w:hAnsi="Symbol" w:cs="Times New Roman" w:hint="default"/>
      </w:rPr>
    </w:lvl>
    <w:lvl w:ilvl="1" w:tplc="A08ED9B2">
      <w:start w:val="1"/>
      <w:numFmt w:val="bullet"/>
      <w:lvlText w:val="o"/>
      <w:lvlJc w:val="left"/>
      <w:pPr>
        <w:ind w:left="1440" w:hanging="360"/>
      </w:pPr>
      <w:rPr>
        <w:rFonts w:ascii="Courier New" w:hAnsi="Courier New" w:cs="Courier New" w:hint="default"/>
      </w:rPr>
    </w:lvl>
    <w:lvl w:ilvl="2" w:tplc="43FEC0EA">
      <w:start w:val="1"/>
      <w:numFmt w:val="bullet"/>
      <w:lvlText w:val=""/>
      <w:lvlJc w:val="left"/>
      <w:pPr>
        <w:ind w:left="2160" w:hanging="360"/>
      </w:pPr>
      <w:rPr>
        <w:rFonts w:ascii="Wingdings" w:hAnsi="Wingdings" w:hint="default"/>
      </w:rPr>
    </w:lvl>
    <w:lvl w:ilvl="3" w:tplc="74541EE4">
      <w:start w:val="1"/>
      <w:numFmt w:val="bullet"/>
      <w:lvlText w:val=""/>
      <w:lvlJc w:val="left"/>
      <w:pPr>
        <w:ind w:left="2880" w:hanging="360"/>
      </w:pPr>
      <w:rPr>
        <w:rFonts w:ascii="Symbol" w:hAnsi="Symbol" w:hint="default"/>
      </w:rPr>
    </w:lvl>
    <w:lvl w:ilvl="4" w:tplc="82F2FC50">
      <w:start w:val="1"/>
      <w:numFmt w:val="bullet"/>
      <w:lvlText w:val="o"/>
      <w:lvlJc w:val="left"/>
      <w:pPr>
        <w:ind w:left="3600" w:hanging="360"/>
      </w:pPr>
      <w:rPr>
        <w:rFonts w:ascii="Courier New" w:hAnsi="Courier New" w:cs="Courier New" w:hint="default"/>
      </w:rPr>
    </w:lvl>
    <w:lvl w:ilvl="5" w:tplc="203E4C3A">
      <w:start w:val="1"/>
      <w:numFmt w:val="bullet"/>
      <w:lvlText w:val=""/>
      <w:lvlJc w:val="left"/>
      <w:pPr>
        <w:ind w:left="4320" w:hanging="360"/>
      </w:pPr>
      <w:rPr>
        <w:rFonts w:ascii="Wingdings" w:hAnsi="Wingdings" w:hint="default"/>
      </w:rPr>
    </w:lvl>
    <w:lvl w:ilvl="6" w:tplc="AC942506">
      <w:start w:val="1"/>
      <w:numFmt w:val="bullet"/>
      <w:lvlText w:val=""/>
      <w:lvlJc w:val="left"/>
      <w:pPr>
        <w:ind w:left="5040" w:hanging="360"/>
      </w:pPr>
      <w:rPr>
        <w:rFonts w:ascii="Symbol" w:hAnsi="Symbol" w:hint="default"/>
      </w:rPr>
    </w:lvl>
    <w:lvl w:ilvl="7" w:tplc="D2DA8E0C">
      <w:start w:val="1"/>
      <w:numFmt w:val="bullet"/>
      <w:lvlText w:val="o"/>
      <w:lvlJc w:val="left"/>
      <w:pPr>
        <w:ind w:left="5760" w:hanging="360"/>
      </w:pPr>
      <w:rPr>
        <w:rFonts w:ascii="Courier New" w:hAnsi="Courier New" w:cs="Courier New" w:hint="default"/>
      </w:rPr>
    </w:lvl>
    <w:lvl w:ilvl="8" w:tplc="D4264724">
      <w:start w:val="1"/>
      <w:numFmt w:val="bullet"/>
      <w:lvlText w:val=""/>
      <w:lvlJc w:val="left"/>
      <w:pPr>
        <w:ind w:left="6480" w:hanging="360"/>
      </w:pPr>
      <w:rPr>
        <w:rFonts w:ascii="Wingdings" w:hAnsi="Wingdings" w:hint="default"/>
      </w:rPr>
    </w:lvl>
  </w:abstractNum>
  <w:abstractNum w:abstractNumId="22" w15:restartNumberingAfterBreak="0">
    <w:nsid w:val="753C620D"/>
    <w:multiLevelType w:val="hybridMultilevel"/>
    <w:tmpl w:val="B1A0E580"/>
    <w:lvl w:ilvl="0" w:tplc="2534B6E0">
      <w:start w:val="1"/>
      <w:numFmt w:val="bullet"/>
      <w:suff w:val="space"/>
      <w:lvlText w:val="-"/>
      <w:lvlJc w:val="left"/>
      <w:pPr>
        <w:ind w:left="0" w:firstLine="72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1" w:tplc="358A5BC8">
      <w:start w:val="1"/>
      <w:numFmt w:val="bullet"/>
      <w:lvlText w:val="o"/>
      <w:lvlJc w:val="left"/>
      <w:pPr>
        <w:tabs>
          <w:tab w:val="num" w:pos="1440"/>
        </w:tabs>
        <w:ind w:left="1440" w:hanging="360"/>
      </w:pPr>
      <w:rPr>
        <w:rFonts w:ascii="Courier New" w:hAnsi="Courier New" w:hint="default"/>
      </w:rPr>
    </w:lvl>
    <w:lvl w:ilvl="2" w:tplc="8B4C4FE2">
      <w:start w:val="1"/>
      <w:numFmt w:val="bullet"/>
      <w:lvlText w:val=""/>
      <w:lvlJc w:val="left"/>
      <w:pPr>
        <w:tabs>
          <w:tab w:val="num" w:pos="2160"/>
        </w:tabs>
        <w:ind w:left="2160" w:hanging="360"/>
      </w:pPr>
      <w:rPr>
        <w:rFonts w:ascii="Wingdings" w:hAnsi="Wingdings" w:hint="default"/>
      </w:rPr>
    </w:lvl>
    <w:lvl w:ilvl="3" w:tplc="269230FA">
      <w:start w:val="1"/>
      <w:numFmt w:val="bullet"/>
      <w:lvlText w:val=""/>
      <w:lvlJc w:val="left"/>
      <w:pPr>
        <w:tabs>
          <w:tab w:val="num" w:pos="2880"/>
        </w:tabs>
        <w:ind w:left="2880" w:hanging="360"/>
      </w:pPr>
      <w:rPr>
        <w:rFonts w:ascii="Symbol" w:hAnsi="Symbol" w:hint="default"/>
      </w:rPr>
    </w:lvl>
    <w:lvl w:ilvl="4" w:tplc="5AD40BC2">
      <w:start w:val="1"/>
      <w:numFmt w:val="bullet"/>
      <w:lvlText w:val="o"/>
      <w:lvlJc w:val="left"/>
      <w:pPr>
        <w:tabs>
          <w:tab w:val="num" w:pos="3600"/>
        </w:tabs>
        <w:ind w:left="3600" w:hanging="360"/>
      </w:pPr>
      <w:rPr>
        <w:rFonts w:ascii="Courier New" w:hAnsi="Courier New" w:hint="default"/>
      </w:rPr>
    </w:lvl>
    <w:lvl w:ilvl="5" w:tplc="7374A5B4">
      <w:start w:val="1"/>
      <w:numFmt w:val="bullet"/>
      <w:lvlText w:val=""/>
      <w:lvlJc w:val="left"/>
      <w:pPr>
        <w:tabs>
          <w:tab w:val="num" w:pos="4320"/>
        </w:tabs>
        <w:ind w:left="4320" w:hanging="360"/>
      </w:pPr>
      <w:rPr>
        <w:rFonts w:ascii="Wingdings" w:hAnsi="Wingdings" w:hint="default"/>
      </w:rPr>
    </w:lvl>
    <w:lvl w:ilvl="6" w:tplc="90BAB900">
      <w:start w:val="1"/>
      <w:numFmt w:val="bullet"/>
      <w:lvlText w:val=""/>
      <w:lvlJc w:val="left"/>
      <w:pPr>
        <w:tabs>
          <w:tab w:val="num" w:pos="5040"/>
        </w:tabs>
        <w:ind w:left="5040" w:hanging="360"/>
      </w:pPr>
      <w:rPr>
        <w:rFonts w:ascii="Symbol" w:hAnsi="Symbol" w:hint="default"/>
      </w:rPr>
    </w:lvl>
    <w:lvl w:ilvl="7" w:tplc="DB747D1C">
      <w:start w:val="1"/>
      <w:numFmt w:val="bullet"/>
      <w:lvlText w:val="o"/>
      <w:lvlJc w:val="left"/>
      <w:pPr>
        <w:tabs>
          <w:tab w:val="num" w:pos="5760"/>
        </w:tabs>
        <w:ind w:left="5760" w:hanging="360"/>
      </w:pPr>
      <w:rPr>
        <w:rFonts w:ascii="Courier New" w:hAnsi="Courier New" w:hint="default"/>
      </w:rPr>
    </w:lvl>
    <w:lvl w:ilvl="8" w:tplc="32843C16">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91999"/>
    <w:multiLevelType w:val="multilevel"/>
    <w:tmpl w:val="96E2F5D2"/>
    <w:lvl w:ilvl="0">
      <w:start w:val="3"/>
      <w:numFmt w:val="decimal"/>
      <w:lvlText w:val="%1."/>
      <w:lvlJc w:val="left"/>
      <w:pPr>
        <w:tabs>
          <w:tab w:val="num" w:pos="795"/>
        </w:tabs>
        <w:ind w:left="795" w:hanging="795"/>
      </w:pPr>
      <w:rPr>
        <w:rFonts w:hint="default"/>
      </w:rPr>
    </w:lvl>
    <w:lvl w:ilvl="1">
      <w:start w:val="1"/>
      <w:numFmt w:val="decimal"/>
      <w:lvlText w:val="%1.%2."/>
      <w:lvlJc w:val="left"/>
      <w:pPr>
        <w:tabs>
          <w:tab w:val="num" w:pos="1155"/>
        </w:tabs>
        <w:ind w:left="1155" w:hanging="795"/>
      </w:pPr>
      <w:rPr>
        <w:rFonts w:hint="default"/>
      </w:rPr>
    </w:lvl>
    <w:lvl w:ilvl="2">
      <w:start w:val="2"/>
      <w:numFmt w:val="decimal"/>
      <w:lvlText w:val="%1.%2.%3."/>
      <w:lvlJc w:val="left"/>
      <w:pPr>
        <w:tabs>
          <w:tab w:val="num" w:pos="1515"/>
        </w:tabs>
        <w:ind w:left="1515" w:hanging="795"/>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2"/>
  </w:num>
  <w:num w:numId="2">
    <w:abstractNumId w:val="6"/>
  </w:num>
  <w:num w:numId="3">
    <w:abstractNumId w:val="19"/>
  </w:num>
  <w:num w:numId="4">
    <w:abstractNumId w:val="8"/>
  </w:num>
  <w:num w:numId="5">
    <w:abstractNumId w:val="5"/>
  </w:num>
  <w:num w:numId="6">
    <w:abstractNumId w:val="23"/>
  </w:num>
  <w:num w:numId="7">
    <w:abstractNumId w:val="3"/>
  </w:num>
  <w:num w:numId="8">
    <w:abstractNumId w:val="17"/>
  </w:num>
  <w:num w:numId="9">
    <w:abstractNumId w:val="15"/>
  </w:num>
  <w:num w:numId="10">
    <w:abstractNumId w:val="13"/>
  </w:num>
  <w:num w:numId="11">
    <w:abstractNumId w:val="7"/>
  </w:num>
  <w:num w:numId="12">
    <w:abstractNumId w:val="2"/>
  </w:num>
  <w:num w:numId="13">
    <w:abstractNumId w:val="11"/>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4"/>
  </w:num>
  <w:num w:numId="17">
    <w:abstractNumId w:val="4"/>
  </w:num>
  <w:num w:numId="18">
    <w:abstractNumId w:val="21"/>
  </w:num>
  <w:num w:numId="19">
    <w:abstractNumId w:val="18"/>
  </w:num>
  <w:num w:numId="20">
    <w:abstractNumId w:val="0"/>
  </w:num>
  <w:num w:numId="21">
    <w:abstractNumId w:val="12"/>
  </w:num>
  <w:num w:numId="22">
    <w:abstractNumId w:val="9"/>
  </w:num>
  <w:num w:numId="23">
    <w:abstractNumId w:val="16"/>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0D6"/>
    <w:rsid w:val="000A15BB"/>
    <w:rsid w:val="000C34D5"/>
    <w:rsid w:val="000C386F"/>
    <w:rsid w:val="00171D18"/>
    <w:rsid w:val="001B7616"/>
    <w:rsid w:val="002458E7"/>
    <w:rsid w:val="00276F6D"/>
    <w:rsid w:val="002A550D"/>
    <w:rsid w:val="002B0AFD"/>
    <w:rsid w:val="00370621"/>
    <w:rsid w:val="00384D81"/>
    <w:rsid w:val="003C3E00"/>
    <w:rsid w:val="00410936"/>
    <w:rsid w:val="00412A3E"/>
    <w:rsid w:val="00496FEB"/>
    <w:rsid w:val="004D3D09"/>
    <w:rsid w:val="00513012"/>
    <w:rsid w:val="00523601"/>
    <w:rsid w:val="00571941"/>
    <w:rsid w:val="00651425"/>
    <w:rsid w:val="006C6EB9"/>
    <w:rsid w:val="00713710"/>
    <w:rsid w:val="007B36E2"/>
    <w:rsid w:val="007D0F6B"/>
    <w:rsid w:val="007E0F1B"/>
    <w:rsid w:val="00835468"/>
    <w:rsid w:val="008865FA"/>
    <w:rsid w:val="008A7A61"/>
    <w:rsid w:val="008B7B33"/>
    <w:rsid w:val="00933120"/>
    <w:rsid w:val="009775A2"/>
    <w:rsid w:val="009A3133"/>
    <w:rsid w:val="009B2E87"/>
    <w:rsid w:val="009D1837"/>
    <w:rsid w:val="00A72DFE"/>
    <w:rsid w:val="00A840D6"/>
    <w:rsid w:val="00AE22A5"/>
    <w:rsid w:val="00BB554E"/>
    <w:rsid w:val="00BC727E"/>
    <w:rsid w:val="00BD3CF6"/>
    <w:rsid w:val="00BF238C"/>
    <w:rsid w:val="00C907E4"/>
    <w:rsid w:val="00CB2175"/>
    <w:rsid w:val="00D2017A"/>
    <w:rsid w:val="00E10180"/>
    <w:rsid w:val="00E3389B"/>
    <w:rsid w:val="00EC1B45"/>
    <w:rsid w:val="00F10E8D"/>
    <w:rsid w:val="00F13751"/>
    <w:rsid w:val="00FD0857"/>
    <w:rsid w:val="00FD3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330E55-0E6B-4E58-BFAC-8631DA4E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qFormat/>
    <w:pPr>
      <w:keepNext/>
      <w:widowControl w:val="0"/>
      <w:tabs>
        <w:tab w:val="left" w:pos="6481"/>
      </w:tabs>
      <w:outlineLvl w:val="1"/>
    </w:pPr>
    <w:rPr>
      <w:sz w:val="28"/>
    </w:rPr>
  </w:style>
  <w:style w:type="paragraph" w:styleId="3">
    <w:name w:val="heading 3"/>
    <w:basedOn w:val="a"/>
    <w:next w:val="a"/>
    <w:link w:val="30"/>
    <w:qFormat/>
    <w:pPr>
      <w:keepNext/>
      <w:widowControl w:val="0"/>
      <w:jc w:val="center"/>
      <w:outlineLvl w:val="2"/>
    </w:pPr>
    <w:rPr>
      <w:b/>
      <w:sz w:val="28"/>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a4">
    <w:name w:val="Название Знак"/>
    <w:basedOn w:val="a0"/>
    <w:link w:val="a5"/>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paragraph" w:styleId="ad">
    <w:name w:val="Body Text"/>
    <w:basedOn w:val="a"/>
    <w:pPr>
      <w:widowControl w:val="0"/>
    </w:pPr>
    <w:rPr>
      <w:rFonts w:ascii="Courier New" w:hAnsi="Courier New" w:cs="Courier New"/>
      <w:color w:val="000000"/>
      <w:sz w:val="22"/>
      <w:szCs w:val="22"/>
    </w:rPr>
  </w:style>
  <w:style w:type="paragraph" w:styleId="a5">
    <w:name w:val="Title"/>
    <w:basedOn w:val="a"/>
    <w:link w:val="a4"/>
    <w:qFormat/>
    <w:pPr>
      <w:widowControl w:val="0"/>
      <w:jc w:val="center"/>
    </w:pPr>
    <w:rPr>
      <w:b/>
      <w:sz w:val="28"/>
    </w:rPr>
  </w:style>
  <w:style w:type="paragraph" w:styleId="ae">
    <w:name w:val="footnote text"/>
    <w:basedOn w:val="a"/>
    <w:link w:val="af"/>
    <w:uiPriority w:val="99"/>
    <w:semiHidden/>
    <w:rPr>
      <w:sz w:val="20"/>
      <w:szCs w:val="20"/>
    </w:rPr>
  </w:style>
  <w:style w:type="character" w:styleId="af0">
    <w:name w:val="footnote reference"/>
    <w:uiPriority w:val="99"/>
    <w:semiHidden/>
    <w:rPr>
      <w:vertAlign w:val="superscript"/>
    </w:rPr>
  </w:style>
  <w:style w:type="paragraph" w:styleId="af1">
    <w:name w:val="header"/>
    <w:basedOn w:val="a"/>
    <w:link w:val="af2"/>
    <w:uiPriority w:val="99"/>
    <w:pPr>
      <w:tabs>
        <w:tab w:val="center" w:pos="4677"/>
        <w:tab w:val="right" w:pos="9355"/>
      </w:tabs>
    </w:pPr>
  </w:style>
  <w:style w:type="character" w:styleId="af3">
    <w:name w:val="page number"/>
    <w:basedOn w:val="a0"/>
  </w:style>
  <w:style w:type="character" w:styleId="af4">
    <w:name w:val="annotation reference"/>
    <w:rPr>
      <w:sz w:val="16"/>
      <w:szCs w:val="16"/>
    </w:rPr>
  </w:style>
  <w:style w:type="paragraph" w:styleId="af5">
    <w:name w:val="annotation text"/>
    <w:basedOn w:val="a"/>
    <w:link w:val="af6"/>
    <w:uiPriority w:val="99"/>
    <w:rPr>
      <w:sz w:val="20"/>
      <w:szCs w:val="20"/>
    </w:rPr>
  </w:style>
  <w:style w:type="paragraph" w:styleId="af7">
    <w:name w:val="annotation subject"/>
    <w:basedOn w:val="af5"/>
    <w:next w:val="af5"/>
    <w:semiHidden/>
    <w:rPr>
      <w:b/>
      <w:bCs/>
    </w:rPr>
  </w:style>
  <w:style w:type="paragraph" w:styleId="af8">
    <w:name w:val="Balloon Text"/>
    <w:basedOn w:val="a"/>
    <w:semiHidden/>
    <w:rPr>
      <w:rFonts w:ascii="Tahoma" w:hAnsi="Tahoma" w:cs="Tahoma"/>
      <w:sz w:val="16"/>
      <w:szCs w:val="16"/>
    </w:rPr>
  </w:style>
  <w:style w:type="paragraph" w:styleId="af9">
    <w:name w:val="Normal (Web)"/>
    <w:basedOn w:val="a"/>
    <w:pPr>
      <w:spacing w:before="100" w:beforeAutospacing="1" w:after="100" w:afterAutospacing="1"/>
    </w:pPr>
  </w:style>
  <w:style w:type="paragraph" w:styleId="afa">
    <w:name w:val="footer"/>
    <w:basedOn w:val="a"/>
    <w:link w:val="afb"/>
    <w:uiPriority w:val="99"/>
    <w:pPr>
      <w:tabs>
        <w:tab w:val="center" w:pos="4677"/>
        <w:tab w:val="right" w:pos="9355"/>
      </w:tabs>
    </w:pPr>
  </w:style>
  <w:style w:type="table" w:styleId="afc">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b">
    <w:name w:val="Нижний колонтитул Знак"/>
    <w:link w:val="afa"/>
    <w:uiPriority w:val="99"/>
    <w:rPr>
      <w:sz w:val="24"/>
      <w:szCs w:val="24"/>
    </w:rPr>
  </w:style>
  <w:style w:type="paragraph" w:styleId="25">
    <w:name w:val="Body Text 2"/>
    <w:basedOn w:val="a"/>
    <w:link w:val="26"/>
    <w:pPr>
      <w:spacing w:after="120" w:line="480" w:lineRule="auto"/>
    </w:pPr>
  </w:style>
  <w:style w:type="character" w:customStyle="1" w:styleId="26">
    <w:name w:val="Основной текст 2 Знак"/>
    <w:link w:val="25"/>
    <w:rPr>
      <w:sz w:val="24"/>
      <w:szCs w:val="24"/>
    </w:rPr>
  </w:style>
  <w:style w:type="paragraph" w:customStyle="1" w:styleId="0">
    <w:name w:val="Заголовок 0"/>
    <w:basedOn w:val="1"/>
    <w:qFormat/>
    <w:pPr>
      <w:spacing w:before="0" w:after="0"/>
      <w:ind w:left="3120"/>
      <w:jc w:val="right"/>
    </w:pPr>
    <w:rPr>
      <w:rFonts w:ascii="Times New Roman" w:hAnsi="Times New Roman" w:cs="Times New Roman"/>
      <w:b w:val="0"/>
      <w:bCs w:val="0"/>
      <w:sz w:val="28"/>
      <w:szCs w:val="20"/>
      <w:lang w:eastAsia="de-DE"/>
    </w:rPr>
  </w:style>
  <w:style w:type="character" w:customStyle="1" w:styleId="af6">
    <w:name w:val="Текст примечания Знак"/>
    <w:basedOn w:val="a0"/>
    <w:link w:val="af5"/>
    <w:uiPriority w:val="99"/>
  </w:style>
  <w:style w:type="paragraph" w:styleId="afd">
    <w:name w:val="endnote text"/>
    <w:basedOn w:val="a"/>
    <w:link w:val="afe"/>
    <w:rPr>
      <w:sz w:val="20"/>
      <w:szCs w:val="20"/>
    </w:rPr>
  </w:style>
  <w:style w:type="character" w:customStyle="1" w:styleId="afe">
    <w:name w:val="Текст концевой сноски Знак"/>
    <w:basedOn w:val="a0"/>
    <w:link w:val="afd"/>
  </w:style>
  <w:style w:type="character" w:styleId="aff">
    <w:name w:val="endnote reference"/>
    <w:rPr>
      <w:vertAlign w:val="superscript"/>
    </w:rPr>
  </w:style>
  <w:style w:type="paragraph" w:customStyle="1" w:styleId="ConsPlusNormal">
    <w:name w:val="ConsPlusNormal"/>
    <w:rPr>
      <w:sz w:val="28"/>
      <w:szCs w:val="28"/>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af">
    <w:name w:val="Текст сноски Знак"/>
    <w:link w:val="ae"/>
    <w:uiPriority w:val="99"/>
    <w:semiHidden/>
  </w:style>
  <w:style w:type="paragraph" w:styleId="aff1">
    <w:name w:val="Revision"/>
    <w:hidden/>
    <w:uiPriority w:val="99"/>
    <w:semiHidden/>
    <w:rPr>
      <w:sz w:val="24"/>
      <w:szCs w:val="24"/>
    </w:rPr>
  </w:style>
  <w:style w:type="paragraph" w:styleId="12">
    <w:name w:val="toc 1"/>
    <w:basedOn w:val="a"/>
    <w:next w:val="a"/>
    <w:uiPriority w:val="39"/>
    <w:pPr>
      <w:tabs>
        <w:tab w:val="right" w:leader="dot" w:pos="9627"/>
      </w:tabs>
    </w:pPr>
    <w:rPr>
      <w:sz w:val="28"/>
      <w:szCs w:val="28"/>
    </w:rPr>
  </w:style>
  <w:style w:type="character" w:styleId="aff2">
    <w:name w:val="Hyperlink"/>
    <w:uiPriority w:val="99"/>
    <w:unhideWhenUsed/>
    <w:rPr>
      <w:color w:val="0000FF"/>
      <w:u w:val="single"/>
    </w:rPr>
  </w:style>
  <w:style w:type="character" w:customStyle="1" w:styleId="af2">
    <w:name w:val="Верхний колонтитул Знак"/>
    <w:link w:val="af1"/>
    <w:uiPriority w:val="99"/>
    <w:rPr>
      <w:sz w:val="24"/>
      <w:szCs w:val="24"/>
    </w:rPr>
  </w:style>
  <w:style w:type="character" w:customStyle="1" w:styleId="aff3">
    <w:name w:val="Основной текст_"/>
    <w:link w:val="13"/>
    <w:rPr>
      <w:sz w:val="26"/>
      <w:szCs w:val="26"/>
    </w:rPr>
  </w:style>
  <w:style w:type="paragraph" w:customStyle="1" w:styleId="13">
    <w:name w:val="Основной текст1"/>
    <w:basedOn w:val="a"/>
    <w:link w:val="aff3"/>
    <w:pPr>
      <w:widowControl w:val="0"/>
      <w:spacing w:line="257" w:lineRule="auto"/>
      <w:ind w:firstLine="400"/>
    </w:pPr>
    <w:rPr>
      <w:sz w:val="26"/>
      <w:szCs w:val="26"/>
    </w:rPr>
  </w:style>
  <w:style w:type="character" w:customStyle="1" w:styleId="aff4">
    <w:name w:val="Сноска_"/>
    <w:link w:val="aff5"/>
  </w:style>
  <w:style w:type="character" w:customStyle="1" w:styleId="14">
    <w:name w:val="Заголовок №1_"/>
    <w:link w:val="15"/>
    <w:rPr>
      <w:b/>
      <w:bCs/>
      <w:sz w:val="26"/>
      <w:szCs w:val="26"/>
    </w:rPr>
  </w:style>
  <w:style w:type="paragraph" w:customStyle="1" w:styleId="aff5">
    <w:name w:val="Сноска"/>
    <w:basedOn w:val="a"/>
    <w:link w:val="aff4"/>
    <w:pPr>
      <w:widowControl w:val="0"/>
    </w:pPr>
    <w:rPr>
      <w:sz w:val="20"/>
      <w:szCs w:val="20"/>
    </w:rPr>
  </w:style>
  <w:style w:type="paragraph" w:customStyle="1" w:styleId="15">
    <w:name w:val="Заголовок №1"/>
    <w:basedOn w:val="a"/>
    <w:link w:val="14"/>
    <w:pPr>
      <w:widowControl w:val="0"/>
      <w:spacing w:after="120" w:line="257" w:lineRule="auto"/>
      <w:jc w:val="center"/>
      <w:outlineLvl w:val="0"/>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337C-6F87-418C-9BF8-C61057D6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4688</Words>
  <Characters>26723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
  <LinksUpToDate>false</LinksUpToDate>
  <CharactersWithSpaces>31349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u1400012</dc:creator>
  <cp:lastModifiedBy>Гайнутдинова Виктория Анатольевна</cp:lastModifiedBy>
  <cp:revision>2</cp:revision>
  <dcterms:created xsi:type="dcterms:W3CDTF">2024-07-26T05:40:00Z</dcterms:created>
  <dcterms:modified xsi:type="dcterms:W3CDTF">2024-07-26T05:40:00Z</dcterms:modified>
</cp:coreProperties>
</file>